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公文小标宋" w:hAnsi="方正公文小标宋" w:eastAsia="方正公文小标宋" w:cs="方正公文小标宋"/>
          <w:spacing w:val="-11"/>
          <w:sz w:val="52"/>
          <w:szCs w:val="52"/>
        </w:rPr>
      </w:pPr>
      <w:bookmarkStart w:id="0" w:name="_Toc18029"/>
      <w:bookmarkStart w:id="1" w:name="_Toc27608"/>
      <w:bookmarkStart w:id="2" w:name="_Toc20498"/>
      <w:bookmarkStart w:id="3" w:name="_Toc31804"/>
    </w:p>
    <w:p>
      <w:pPr>
        <w:jc w:val="center"/>
        <w:outlineLvl w:val="0"/>
        <w:rPr>
          <w:rFonts w:ascii="方正公文小标宋" w:hAnsi="方正公文小标宋" w:eastAsia="方正公文小标宋" w:cs="方正公文小标宋"/>
          <w:spacing w:val="-11"/>
          <w:sz w:val="52"/>
          <w:szCs w:val="52"/>
        </w:rPr>
      </w:pPr>
    </w:p>
    <w:p>
      <w:pPr>
        <w:jc w:val="center"/>
        <w:outlineLvl w:val="0"/>
        <w:rPr>
          <w:rFonts w:ascii="方正公文小标宋" w:hAnsi="方正公文小标宋" w:eastAsia="方正公文小标宋" w:cs="方正公文小标宋"/>
          <w:b/>
          <w:spacing w:val="-11"/>
          <w:sz w:val="52"/>
          <w:szCs w:val="52"/>
        </w:rPr>
      </w:pPr>
      <w:r>
        <w:rPr>
          <w:rFonts w:hint="eastAsia" w:ascii="方正公文小标宋" w:hAnsi="方正公文小标宋" w:eastAsia="方正公文小标宋" w:cs="方正公文小标宋"/>
          <w:b/>
          <w:spacing w:val="-11"/>
          <w:sz w:val="52"/>
          <w:szCs w:val="52"/>
        </w:rPr>
        <w:t>天津市房屋建筑和市政基础设施工程</w:t>
      </w:r>
    </w:p>
    <w:p>
      <w:pPr>
        <w:jc w:val="center"/>
        <w:outlineLvl w:val="0"/>
        <w:rPr>
          <w:rFonts w:hint="eastAsia" w:ascii="方正公文小标宋" w:hAnsi="方正公文小标宋" w:eastAsia="方正公文小标宋" w:cs="方正公文小标宋"/>
          <w:b/>
          <w:spacing w:val="-11"/>
          <w:sz w:val="52"/>
          <w:szCs w:val="52"/>
        </w:rPr>
      </w:pPr>
      <w:r>
        <w:rPr>
          <w:rFonts w:hint="eastAsia" w:ascii="方正公文小标宋" w:hAnsi="方正公文小标宋" w:eastAsia="方正公文小标宋" w:cs="方正公文小标宋"/>
          <w:b/>
          <w:spacing w:val="-11"/>
          <w:sz w:val="52"/>
          <w:szCs w:val="52"/>
        </w:rPr>
        <w:t>评标专家及评标专家库</w:t>
      </w:r>
      <w:r>
        <w:rPr>
          <w:rFonts w:ascii="方正公文小标宋" w:hAnsi="方正公文小标宋" w:eastAsia="方正公文小标宋" w:cs="方正公文小标宋"/>
          <w:b/>
          <w:spacing w:val="-11"/>
          <w:sz w:val="52"/>
          <w:szCs w:val="52"/>
        </w:rPr>
        <w:t>管理办法</w:t>
      </w:r>
      <w:bookmarkEnd w:id="0"/>
      <w:bookmarkEnd w:id="1"/>
    </w:p>
    <w:p>
      <w:pPr>
        <w:jc w:val="center"/>
        <w:outlineLvl w:val="0"/>
        <w:rPr>
          <w:rFonts w:ascii="方正公文小标宋" w:hAnsi="方正公文小标宋" w:eastAsia="方正公文小标宋" w:cs="方正公文小标宋"/>
          <w:b/>
          <w:spacing w:val="-11"/>
          <w:sz w:val="52"/>
          <w:szCs w:val="52"/>
        </w:rPr>
      </w:pPr>
      <w:r>
        <w:rPr>
          <w:rFonts w:hint="eastAsia" w:ascii="方正公文小标宋" w:hAnsi="方正公文小标宋" w:eastAsia="方正公文小标宋" w:cs="方正公文小标宋"/>
          <w:b/>
          <w:spacing w:val="-11"/>
          <w:sz w:val="52"/>
          <w:szCs w:val="52"/>
        </w:rPr>
        <w:t>（征求意见稿）</w:t>
      </w:r>
    </w:p>
    <w:p>
      <w:pPr>
        <w:pStyle w:val="6"/>
        <w:rPr>
          <w:rFonts w:ascii="方正公文小标宋" w:hAnsi="方正公文小标宋" w:eastAsia="方正公文小标宋" w:cs="方正公文小标宋"/>
          <w:sz w:val="72"/>
          <w:szCs w:val="72"/>
        </w:rPr>
      </w:pPr>
    </w:p>
    <w:p>
      <w:pPr>
        <w:pStyle w:val="6"/>
        <w:rPr>
          <w:rFonts w:ascii="方正公文小标宋" w:hAnsi="方正公文小标宋" w:eastAsia="方正公文小标宋" w:cs="方正公文小标宋"/>
          <w:sz w:val="72"/>
          <w:szCs w:val="72"/>
        </w:rPr>
      </w:pPr>
    </w:p>
    <w:p>
      <w:pPr>
        <w:pStyle w:val="6"/>
        <w:jc w:val="center"/>
        <w:rPr>
          <w:rFonts w:ascii="方正公文小标宋" w:hAnsi="方正公文小标宋" w:eastAsia="方正公文小标宋" w:cs="方正公文小标宋"/>
          <w:sz w:val="32"/>
          <w:szCs w:val="32"/>
        </w:rPr>
      </w:pPr>
    </w:p>
    <w:p>
      <w:pPr>
        <w:pStyle w:val="6"/>
        <w:jc w:val="center"/>
        <w:rPr>
          <w:rFonts w:ascii="方正公文小标宋" w:hAnsi="方正公文小标宋" w:eastAsia="方正公文小标宋" w:cs="方正公文小标宋"/>
          <w:sz w:val="32"/>
          <w:szCs w:val="32"/>
        </w:rPr>
      </w:pPr>
    </w:p>
    <w:p>
      <w:pPr>
        <w:pStyle w:val="6"/>
        <w:jc w:val="center"/>
        <w:rPr>
          <w:rFonts w:ascii="黑体" w:hAnsi="黑体" w:eastAsia="黑体" w:cs="方正公文小标宋"/>
          <w:sz w:val="32"/>
          <w:szCs w:val="32"/>
        </w:rPr>
      </w:pPr>
      <w:r>
        <w:rPr>
          <w:rFonts w:hint="eastAsia" w:ascii="黑体" w:hAnsi="黑体" w:eastAsia="黑体" w:cs="方正公文小标宋"/>
          <w:sz w:val="32"/>
          <w:szCs w:val="32"/>
        </w:rPr>
        <w:t>天津市住房和城乡建设委员会</w:t>
      </w:r>
    </w:p>
    <w:p>
      <w:pPr>
        <w:pStyle w:val="7"/>
        <w:ind w:firstLine="0" w:firstLineChars="0"/>
        <w:jc w:val="center"/>
        <w:rPr>
          <w:rFonts w:ascii="黑体" w:hAnsi="黑体" w:eastAsia="黑体"/>
          <w:szCs w:val="32"/>
        </w:rPr>
      </w:pPr>
      <w:r>
        <w:rPr>
          <w:rFonts w:hint="eastAsia" w:ascii="黑体" w:hAnsi="黑体" w:eastAsia="黑体" w:cs="方正公文小标宋"/>
          <w:szCs w:val="32"/>
        </w:rPr>
        <w:t>2024年6月</w:t>
      </w:r>
    </w:p>
    <w:bookmarkEnd w:id="2"/>
    <w:bookmarkEnd w:id="3"/>
    <w:p>
      <w:pPr>
        <w:widowControl/>
        <w:shd w:val="clear" w:color="auto" w:fill="FFFFFF"/>
        <w:spacing w:line="560" w:lineRule="exact"/>
        <w:jc w:val="center"/>
        <w:rPr>
          <w:rFonts w:eastAsia="方正小标宋简体"/>
          <w:bCs/>
          <w:color w:val="000000"/>
          <w:kern w:val="0"/>
          <w:sz w:val="44"/>
          <w:szCs w:val="44"/>
        </w:rPr>
      </w:pPr>
      <w:bookmarkStart w:id="6" w:name="_GoBack"/>
      <w:bookmarkEnd w:id="6"/>
      <w:r>
        <w:rPr>
          <w:rFonts w:eastAsia="方正小标宋简体"/>
          <w:bCs/>
          <w:color w:val="000000"/>
          <w:kern w:val="0"/>
          <w:sz w:val="44"/>
          <w:szCs w:val="44"/>
        </w:rPr>
        <w:t>天津市房屋建筑和市政基础设施工程</w:t>
      </w:r>
    </w:p>
    <w:p>
      <w:pPr>
        <w:widowControl/>
        <w:shd w:val="clear" w:color="auto" w:fill="FFFFFF"/>
        <w:spacing w:line="560" w:lineRule="exact"/>
        <w:jc w:val="center"/>
        <w:rPr>
          <w:rFonts w:eastAsia="方正小标宋简体"/>
          <w:bCs/>
          <w:color w:val="000000"/>
          <w:kern w:val="0"/>
          <w:sz w:val="44"/>
          <w:szCs w:val="44"/>
        </w:rPr>
      </w:pPr>
      <w:r>
        <w:rPr>
          <w:rFonts w:eastAsia="方正小标宋简体"/>
          <w:bCs/>
          <w:color w:val="000000"/>
          <w:kern w:val="0"/>
          <w:sz w:val="44"/>
          <w:szCs w:val="44"/>
        </w:rPr>
        <w:t>评标专家</w:t>
      </w:r>
      <w:r>
        <w:rPr>
          <w:rFonts w:hint="eastAsia" w:eastAsia="方正小标宋简体"/>
          <w:bCs/>
          <w:color w:val="000000"/>
          <w:kern w:val="0"/>
          <w:sz w:val="44"/>
          <w:szCs w:val="44"/>
        </w:rPr>
        <w:t>及评标专家库</w:t>
      </w:r>
      <w:r>
        <w:rPr>
          <w:rFonts w:eastAsia="方正小标宋简体"/>
          <w:bCs/>
          <w:color w:val="000000"/>
          <w:kern w:val="0"/>
          <w:sz w:val="44"/>
          <w:szCs w:val="44"/>
        </w:rPr>
        <w:t>管理办法</w:t>
      </w:r>
    </w:p>
    <w:p>
      <w:pPr>
        <w:pStyle w:val="6"/>
        <w:spacing w:line="540" w:lineRule="exact"/>
        <w:ind w:firstLine="3432" w:firstLineChars="1100"/>
      </w:pPr>
      <w:r>
        <w:rPr>
          <w:rFonts w:hint="eastAsia" w:ascii="方正公文小标宋" w:hAnsi="方正公文小标宋" w:eastAsia="方正公文小标宋" w:cs="方正公文小标宋"/>
          <w:sz w:val="32"/>
          <w:szCs w:val="32"/>
        </w:rPr>
        <w:t>(征求意见稿)</w:t>
      </w:r>
    </w:p>
    <w:p>
      <w:pPr>
        <w:pStyle w:val="2"/>
        <w:spacing w:line="540" w:lineRule="exact"/>
        <w:ind w:firstLine="3600" w:firstLineChars="1200"/>
        <w:rPr>
          <w:rFonts w:ascii="黑体" w:hAnsi="黑体" w:eastAsia="黑体" w:cs="黑体"/>
          <w:b w:val="0"/>
          <w:sz w:val="32"/>
          <w:szCs w:val="32"/>
        </w:rPr>
      </w:pPr>
      <w:bookmarkStart w:id="4" w:name="_Toc29079"/>
      <w:bookmarkStart w:id="5" w:name="_Toc20793"/>
      <w:r>
        <w:rPr>
          <w:rFonts w:hint="eastAsia" w:ascii="黑体" w:hAnsi="黑体" w:eastAsia="黑体" w:cs="黑体"/>
          <w:b w:val="0"/>
          <w:sz w:val="32"/>
          <w:szCs w:val="32"/>
        </w:rPr>
        <w:t>第一章 总则</w:t>
      </w:r>
      <w:bookmarkEnd w:id="4"/>
      <w:bookmarkEnd w:id="5"/>
    </w:p>
    <w:p>
      <w:pPr>
        <w:widowControl/>
        <w:spacing w:line="480" w:lineRule="exact"/>
        <w:ind w:firstLine="600" w:firstLineChars="200"/>
        <w:rPr>
          <w:rFonts w:ascii="仿宋_GB2312" w:hAnsi="仿宋" w:cs="宋体"/>
          <w:szCs w:val="32"/>
        </w:rPr>
      </w:pPr>
      <w:r>
        <w:rPr>
          <w:rStyle w:val="27"/>
          <w:rFonts w:ascii="黑体" w:hAnsi="黑体" w:eastAsia="黑体"/>
        </w:rPr>
        <w:t>第一条【立法目的】</w:t>
      </w:r>
      <w:r>
        <w:rPr>
          <w:rFonts w:hint="eastAsia" w:ascii="仿宋_GB2312" w:hAnsi="仿宋" w:cs="宋体"/>
          <w:szCs w:val="32"/>
        </w:rPr>
        <w:t>为加强本市房屋建筑和市政基础设施（以下简称“房建市政”）工程评标专家和评标专家库（以下简称“评标专家库”）管理，规范评标专家评标行为，保证评标活动公平、公正，根据《中华人民共和国招标投标法》《中华人民共和国招标投标法实施条例》《天津市招标投标条例》《评标专家和评标专家库管理暂行办法》（2003年国家发展计划委员会令第29号，2013年修改）等有关规定，结合本市实际，制定本办法。</w:t>
      </w:r>
    </w:p>
    <w:p>
      <w:pPr>
        <w:ind w:firstLine="600" w:firstLineChars="200"/>
        <w:rPr>
          <w:rFonts w:ascii="仿宋_GB2312"/>
          <w:kern w:val="0"/>
          <w:szCs w:val="32"/>
        </w:rPr>
      </w:pPr>
      <w:r>
        <w:rPr>
          <w:rFonts w:hint="eastAsia" w:ascii="黑体" w:hAnsi="黑体" w:eastAsia="黑体"/>
          <w:b/>
          <w:kern w:val="0"/>
          <w:szCs w:val="32"/>
        </w:rPr>
        <w:t>第二条</w:t>
      </w:r>
      <w:r>
        <w:rPr>
          <w:rFonts w:hint="eastAsia" w:ascii="黑体" w:hAnsi="黑体" w:eastAsia="黑体"/>
          <w:b/>
          <w:bCs/>
          <w:kern w:val="0"/>
          <w:szCs w:val="32"/>
        </w:rPr>
        <w:t>【适用范围】</w:t>
      </w:r>
      <w:r>
        <w:rPr>
          <w:rFonts w:hint="eastAsia" w:ascii="仿宋_GB2312"/>
          <w:kern w:val="0"/>
          <w:szCs w:val="32"/>
        </w:rPr>
        <w:t>本办法适用于评标专家的入库、日常管理、出库以及评标专家库的组建、管理、使用等活动。</w:t>
      </w:r>
    </w:p>
    <w:p>
      <w:pPr>
        <w:pStyle w:val="11"/>
        <w:shd w:val="clear" w:color="auto" w:fill="FFFFFF"/>
        <w:ind w:firstLine="600" w:firstLineChars="200"/>
        <w:rPr>
          <w:rFonts w:ascii="仿宋_GB2312"/>
          <w:kern w:val="0"/>
          <w:sz w:val="32"/>
          <w:szCs w:val="32"/>
        </w:rPr>
      </w:pPr>
      <w:r>
        <w:rPr>
          <w:rFonts w:hint="eastAsia" w:ascii="黑体" w:hAnsi="黑体" w:eastAsia="黑体"/>
          <w:b/>
          <w:kern w:val="0"/>
          <w:sz w:val="32"/>
          <w:szCs w:val="32"/>
        </w:rPr>
        <w:t>第三条【评标专家定义】</w:t>
      </w:r>
      <w:r>
        <w:rPr>
          <w:rFonts w:hint="eastAsia" w:ascii="仿宋_GB2312"/>
          <w:kern w:val="0"/>
          <w:sz w:val="32"/>
          <w:szCs w:val="32"/>
        </w:rPr>
        <w:t>本办法所称的评标专家</w:t>
      </w:r>
      <w:r>
        <w:rPr>
          <w:rFonts w:ascii="仿宋_GB2312"/>
          <w:kern w:val="0"/>
          <w:sz w:val="32"/>
          <w:szCs w:val="32"/>
        </w:rPr>
        <w:t>是指从事</w:t>
      </w:r>
      <w:r>
        <w:rPr>
          <w:rFonts w:hint="eastAsia" w:ascii="仿宋_GB2312"/>
          <w:kern w:val="0"/>
          <w:sz w:val="32"/>
          <w:szCs w:val="32"/>
        </w:rPr>
        <w:t>房建市政工程</w:t>
      </w:r>
      <w:r>
        <w:rPr>
          <w:rFonts w:ascii="仿宋_GB2312"/>
          <w:kern w:val="0"/>
          <w:sz w:val="32"/>
          <w:szCs w:val="32"/>
        </w:rPr>
        <w:t>相关工作，具有技术、经济、管理等方面较高理论水平和丰富实践经验，</w:t>
      </w:r>
      <w:r>
        <w:rPr>
          <w:rFonts w:hint="eastAsia" w:ascii="仿宋_GB2312"/>
          <w:kern w:val="0"/>
          <w:sz w:val="32"/>
          <w:szCs w:val="32"/>
        </w:rPr>
        <w:t>且入选</w:t>
      </w:r>
      <w:r>
        <w:rPr>
          <w:rFonts w:ascii="仿宋_GB2312"/>
          <w:kern w:val="0"/>
          <w:sz w:val="32"/>
          <w:szCs w:val="32"/>
        </w:rPr>
        <w:t>由市住房城乡建设委组建的评标专家库的</w:t>
      </w:r>
      <w:r>
        <w:rPr>
          <w:rFonts w:hint="eastAsia" w:ascii="仿宋_GB2312"/>
          <w:kern w:val="0"/>
          <w:sz w:val="32"/>
          <w:szCs w:val="32"/>
        </w:rPr>
        <w:t>专业技术人员。</w:t>
      </w:r>
    </w:p>
    <w:p>
      <w:pPr>
        <w:ind w:firstLine="600" w:firstLineChars="200"/>
        <w:rPr>
          <w:rFonts w:ascii="仿宋_GB2312"/>
          <w:kern w:val="0"/>
          <w:szCs w:val="32"/>
        </w:rPr>
      </w:pPr>
      <w:r>
        <w:rPr>
          <w:rFonts w:ascii="黑体" w:hAnsi="黑体" w:eastAsia="黑体"/>
          <w:b/>
          <w:kern w:val="0"/>
          <w:szCs w:val="32"/>
        </w:rPr>
        <w:t>第四条</w:t>
      </w:r>
      <w:r>
        <w:rPr>
          <w:rFonts w:hint="eastAsia" w:ascii="黑体" w:hAnsi="黑体" w:eastAsia="黑体"/>
          <w:b/>
          <w:kern w:val="0"/>
          <w:szCs w:val="32"/>
        </w:rPr>
        <w:t>【</w:t>
      </w:r>
      <w:r>
        <w:rPr>
          <w:rFonts w:ascii="黑体" w:hAnsi="黑体" w:eastAsia="黑体"/>
          <w:b/>
          <w:kern w:val="0"/>
          <w:szCs w:val="32"/>
        </w:rPr>
        <w:t>管理职责</w:t>
      </w:r>
      <w:r>
        <w:rPr>
          <w:rFonts w:hint="eastAsia" w:ascii="黑体" w:hAnsi="黑体" w:eastAsia="黑体"/>
          <w:b/>
          <w:kern w:val="0"/>
          <w:szCs w:val="32"/>
        </w:rPr>
        <w:t>】</w:t>
      </w:r>
      <w:r>
        <w:rPr>
          <w:rFonts w:hint="eastAsia" w:ascii="仿宋_GB2312"/>
          <w:kern w:val="0"/>
          <w:szCs w:val="32"/>
        </w:rPr>
        <w:t>市住房城乡建设委负责评标专家和评标专家库的管理工作。</w:t>
      </w:r>
    </w:p>
    <w:p>
      <w:pPr>
        <w:ind w:firstLine="600" w:firstLineChars="200"/>
        <w:rPr>
          <w:rFonts w:ascii="仿宋_GB2312"/>
          <w:kern w:val="0"/>
          <w:szCs w:val="32"/>
        </w:rPr>
      </w:pPr>
      <w:r>
        <w:rPr>
          <w:rFonts w:hint="eastAsia" w:ascii="仿宋_GB2312"/>
          <w:kern w:val="0"/>
          <w:szCs w:val="32"/>
        </w:rPr>
        <w:t>市建筑市场服务中心（以下简称“市建筑市场中心”）负责评标专家和评标专家库的日常管理工作，</w:t>
      </w:r>
      <w:r>
        <w:rPr>
          <w:rFonts w:ascii="仿宋_GB2312"/>
          <w:kern w:val="0"/>
          <w:szCs w:val="32"/>
        </w:rPr>
        <w:t>包括：</w:t>
      </w:r>
      <w:r>
        <w:rPr>
          <w:rFonts w:hint="eastAsia" w:ascii="仿宋_GB2312"/>
          <w:kern w:val="0"/>
          <w:szCs w:val="32"/>
        </w:rPr>
        <w:t>根据本办法组织评标专家入库审核；采集相关信用信息，开展信用评价，建立评标专家信用档案；组织评标专家教育培训；对评标专家实施警示约谈、暂停评标、清出等管理措施以及其他日常管理工作。</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各区住房建设委按照职责分工，负责所辖行政区域内建设工程评标活动中评标专家行为的管理和处罚。</w:t>
      </w:r>
    </w:p>
    <w:p>
      <w:pPr>
        <w:widowControl/>
        <w:shd w:val="clear" w:color="auto" w:fill="FFFFFF"/>
        <w:spacing w:line="560" w:lineRule="exact"/>
        <w:ind w:firstLine="600" w:firstLineChars="200"/>
        <w:rPr>
          <w:rFonts w:ascii="仿宋_GB2312"/>
          <w:kern w:val="0"/>
          <w:szCs w:val="32"/>
        </w:rPr>
      </w:pPr>
      <w:r>
        <w:rPr>
          <w:rFonts w:ascii="仿宋_GB2312"/>
          <w:kern w:val="0"/>
          <w:szCs w:val="32"/>
        </w:rPr>
        <w:t>建设工程交易服务部门对评标专家遵守交易场所纪律、涉嫌违法违规等行为进行记录，及时报告有关监督管理部门。</w:t>
      </w:r>
    </w:p>
    <w:p>
      <w:pPr>
        <w:pStyle w:val="2"/>
        <w:spacing w:line="540" w:lineRule="exact"/>
        <w:ind w:firstLine="1800" w:firstLineChars="600"/>
        <w:rPr>
          <w:rFonts w:ascii="黑体" w:hAnsi="黑体" w:eastAsia="黑体" w:cs="黑体"/>
          <w:b w:val="0"/>
          <w:sz w:val="32"/>
          <w:szCs w:val="32"/>
        </w:rPr>
      </w:pPr>
      <w:r>
        <w:rPr>
          <w:rFonts w:hint="eastAsia" w:ascii="黑体" w:hAnsi="黑体" w:eastAsia="黑体" w:cs="黑体"/>
          <w:b w:val="0"/>
          <w:sz w:val="32"/>
          <w:szCs w:val="32"/>
        </w:rPr>
        <w:t>第二章  评标专家入库出库管理</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第五条【专家入库原则】</w:t>
      </w:r>
      <w:r>
        <w:rPr>
          <w:rFonts w:ascii="仿宋_GB2312"/>
          <w:kern w:val="0"/>
          <w:szCs w:val="32"/>
        </w:rPr>
        <w:t>本市对评标专家实行</w:t>
      </w:r>
      <w:r>
        <w:rPr>
          <w:rFonts w:hint="eastAsia" w:ascii="仿宋_GB2312"/>
          <w:kern w:val="0"/>
          <w:szCs w:val="32"/>
        </w:rPr>
        <w:t>择优入库</w:t>
      </w:r>
      <w:r>
        <w:rPr>
          <w:rFonts w:ascii="仿宋_GB2312"/>
          <w:kern w:val="0"/>
          <w:szCs w:val="32"/>
        </w:rPr>
        <w:t>、动态管理。入库结合评标工作需要公开进行并接受公众监督。</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第六条</w:t>
      </w:r>
      <w:r>
        <w:rPr>
          <w:rFonts w:hint="eastAsia" w:ascii="黑体" w:hAnsi="黑体" w:eastAsia="黑体"/>
          <w:b/>
        </w:rPr>
        <w:t>【评标专家条件】</w:t>
      </w:r>
      <w:r>
        <w:rPr>
          <w:rFonts w:ascii="仿宋_GB2312"/>
          <w:kern w:val="0"/>
          <w:szCs w:val="32"/>
        </w:rPr>
        <w:t>申请评标专家应当具备以下条件：</w:t>
      </w:r>
    </w:p>
    <w:p>
      <w:pPr>
        <w:widowControl/>
        <w:shd w:val="clear" w:color="auto" w:fill="FFFFFF"/>
        <w:spacing w:line="560" w:lineRule="exact"/>
        <w:ind w:firstLine="600" w:firstLineChars="200"/>
        <w:rPr>
          <w:rFonts w:ascii="仿宋_GB2312"/>
          <w:kern w:val="0"/>
          <w:szCs w:val="32"/>
        </w:rPr>
      </w:pPr>
      <w:r>
        <w:rPr>
          <w:rFonts w:ascii="仿宋_GB2312"/>
          <w:kern w:val="0"/>
          <w:szCs w:val="32"/>
        </w:rPr>
        <w:t>（一）基本条件</w:t>
      </w:r>
    </w:p>
    <w:p>
      <w:pPr>
        <w:widowControl/>
        <w:shd w:val="clear" w:color="auto" w:fill="FFFFFF"/>
        <w:spacing w:line="560" w:lineRule="exact"/>
        <w:ind w:firstLine="600" w:firstLineChars="200"/>
        <w:rPr>
          <w:rFonts w:ascii="仿宋_GB2312"/>
          <w:kern w:val="0"/>
          <w:szCs w:val="32"/>
        </w:rPr>
      </w:pPr>
      <w:r>
        <w:rPr>
          <w:rFonts w:ascii="仿宋_GB2312"/>
          <w:kern w:val="0"/>
          <w:szCs w:val="32"/>
        </w:rPr>
        <w:t>1.</w:t>
      </w:r>
      <w:r>
        <w:rPr>
          <w:rFonts w:hint="eastAsia" w:ascii="仿宋_GB2312"/>
          <w:kern w:val="0"/>
          <w:szCs w:val="32"/>
        </w:rPr>
        <w:t>具备良好的职业道德和敬业精神，能够科学严谨、客观公正、廉洁自律、遵纪守法地履行职责，独立开展相关工作；</w:t>
      </w:r>
    </w:p>
    <w:p>
      <w:pPr>
        <w:widowControl/>
        <w:shd w:val="clear" w:color="auto" w:fill="FFFFFF"/>
        <w:spacing w:line="560" w:lineRule="exact"/>
        <w:ind w:firstLine="600" w:firstLineChars="200"/>
        <w:rPr>
          <w:rFonts w:ascii="仿宋_GB2312"/>
          <w:kern w:val="0"/>
          <w:szCs w:val="32"/>
        </w:rPr>
      </w:pPr>
      <w:r>
        <w:rPr>
          <w:rFonts w:ascii="仿宋_GB2312"/>
          <w:kern w:val="0"/>
          <w:szCs w:val="32"/>
        </w:rPr>
        <w:t>2.</w:t>
      </w:r>
      <w:r>
        <w:rPr>
          <w:rFonts w:hint="eastAsia" w:ascii="仿宋_GB2312"/>
          <w:kern w:val="0"/>
          <w:szCs w:val="32"/>
        </w:rPr>
        <w:t>熟悉</w:t>
      </w:r>
      <w:r>
        <w:rPr>
          <w:rFonts w:ascii="仿宋_GB2312"/>
          <w:kern w:val="0"/>
          <w:szCs w:val="32"/>
        </w:rPr>
        <w:t>国家和本市</w:t>
      </w:r>
      <w:r>
        <w:rPr>
          <w:rFonts w:hint="eastAsia" w:ascii="仿宋_GB2312"/>
          <w:kern w:val="0"/>
          <w:szCs w:val="32"/>
        </w:rPr>
        <w:t>房建市政</w:t>
      </w:r>
      <w:r>
        <w:rPr>
          <w:rFonts w:ascii="仿宋_GB2312"/>
          <w:kern w:val="0"/>
          <w:szCs w:val="32"/>
        </w:rPr>
        <w:t>工程招标投标法律、法规、规章及政策文件</w:t>
      </w:r>
      <w:r>
        <w:rPr>
          <w:rFonts w:hint="eastAsia" w:ascii="仿宋_GB2312"/>
          <w:kern w:val="0"/>
          <w:szCs w:val="32"/>
        </w:rPr>
        <w:t>，</w:t>
      </w:r>
      <w:r>
        <w:rPr>
          <w:rFonts w:ascii="仿宋_GB2312"/>
          <w:kern w:val="0"/>
          <w:szCs w:val="32"/>
        </w:rPr>
        <w:t>有较强的理论水平</w:t>
      </w:r>
      <w:r>
        <w:rPr>
          <w:rFonts w:hint="eastAsia" w:ascii="仿宋_GB2312"/>
          <w:kern w:val="0"/>
          <w:szCs w:val="32"/>
        </w:rPr>
        <w:t>、</w:t>
      </w:r>
      <w:r>
        <w:rPr>
          <w:rFonts w:ascii="仿宋_GB2312"/>
          <w:kern w:val="0"/>
          <w:szCs w:val="32"/>
        </w:rPr>
        <w:t>实践经验和综合分析能力</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ascii="仿宋_GB2312"/>
          <w:kern w:val="0"/>
          <w:szCs w:val="32"/>
        </w:rPr>
        <w:t>3.</w:t>
      </w:r>
      <w:r>
        <w:rPr>
          <w:rFonts w:hint="eastAsia" w:ascii="仿宋_GB2312"/>
          <w:kern w:val="0"/>
          <w:szCs w:val="32"/>
        </w:rPr>
        <w:t>具有完全民事行为能力，身体健康，能够胜任专家评审工作，履行专家工作职责和义务；</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4.</w:t>
      </w:r>
      <w:r>
        <w:rPr>
          <w:rFonts w:ascii="仿宋_GB2312"/>
          <w:kern w:val="0"/>
          <w:szCs w:val="32"/>
        </w:rPr>
        <w:t xml:space="preserve">未在各级住房建设管理部门中任现职； </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5.</w:t>
      </w:r>
      <w:r>
        <w:rPr>
          <w:rFonts w:ascii="仿宋_GB2312"/>
          <w:kern w:val="0"/>
          <w:szCs w:val="32"/>
        </w:rPr>
        <w:t>没有因违法行为受到刑事处罚，没有被列入失信被执行人名单</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6</w:t>
      </w:r>
      <w:r>
        <w:rPr>
          <w:rFonts w:ascii="仿宋_GB2312"/>
          <w:kern w:val="0"/>
          <w:szCs w:val="32"/>
        </w:rPr>
        <w:t>.</w:t>
      </w:r>
      <w:r>
        <w:rPr>
          <w:rFonts w:hint="eastAsia" w:ascii="仿宋_GB2312"/>
          <w:kern w:val="0"/>
          <w:szCs w:val="32"/>
        </w:rPr>
        <w:t>法律、法规和规章规定的其他条件。</w:t>
      </w:r>
    </w:p>
    <w:p>
      <w:pPr>
        <w:widowControl/>
        <w:shd w:val="clear" w:color="auto" w:fill="FFFFFF"/>
        <w:spacing w:line="560" w:lineRule="exact"/>
        <w:ind w:firstLine="600" w:firstLineChars="200"/>
        <w:rPr>
          <w:rFonts w:ascii="仿宋_GB2312"/>
          <w:kern w:val="0"/>
          <w:szCs w:val="32"/>
        </w:rPr>
      </w:pPr>
      <w:r>
        <w:rPr>
          <w:rFonts w:ascii="仿宋_GB2312"/>
          <w:kern w:val="0"/>
          <w:szCs w:val="32"/>
        </w:rPr>
        <w:t>（二）专业能力条件</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1.</w:t>
      </w:r>
      <w:r>
        <w:rPr>
          <w:rFonts w:ascii="仿宋_GB2312"/>
          <w:kern w:val="0"/>
          <w:szCs w:val="32"/>
        </w:rPr>
        <w:t>从事房屋建筑和市政基础设施工程相关专业工作满8年且具有建设工程类高级职称；</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2.</w:t>
      </w:r>
      <w:r>
        <w:rPr>
          <w:rFonts w:ascii="仿宋_GB2312"/>
          <w:kern w:val="0"/>
          <w:szCs w:val="32"/>
        </w:rPr>
        <w:t>具备3个以上所申请专业的工作业绩；</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3.</w:t>
      </w:r>
      <w:r>
        <w:rPr>
          <w:rFonts w:ascii="仿宋_GB2312"/>
          <w:kern w:val="0"/>
          <w:szCs w:val="32"/>
        </w:rPr>
        <w:t>熟练操作电子评标系统</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ascii="仿宋_GB2312"/>
          <w:kern w:val="0"/>
          <w:szCs w:val="32"/>
        </w:rPr>
        <w:t>申报评标专家数量较少的专业，专家应当具备的专业能力条件</w:t>
      </w:r>
    </w:p>
    <w:p>
      <w:pPr>
        <w:widowControl/>
        <w:shd w:val="clear" w:color="auto" w:fill="FFFFFF"/>
        <w:spacing w:line="560" w:lineRule="exact"/>
        <w:rPr>
          <w:rFonts w:ascii="仿宋_GB2312"/>
          <w:kern w:val="0"/>
          <w:szCs w:val="32"/>
        </w:rPr>
      </w:pPr>
      <w:r>
        <w:rPr>
          <w:rFonts w:ascii="仿宋_GB2312"/>
          <w:kern w:val="0"/>
          <w:szCs w:val="32"/>
        </w:rPr>
        <w:t>可以适当放宽。</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第七条</w:t>
      </w:r>
      <w:r>
        <w:rPr>
          <w:rFonts w:hint="eastAsia" w:ascii="黑体" w:hAnsi="黑体" w:eastAsia="黑体"/>
          <w:b/>
        </w:rPr>
        <w:t>【入库方式】</w:t>
      </w:r>
      <w:r>
        <w:rPr>
          <w:rFonts w:ascii="仿宋_GB2312"/>
          <w:kern w:val="0"/>
          <w:szCs w:val="32"/>
        </w:rPr>
        <w:t>专家入选评标专家库，采取个人受邀和单位推荐两种方式。</w:t>
      </w:r>
      <w:r>
        <w:rPr>
          <w:rFonts w:hint="eastAsia" w:ascii="仿宋_GB2312"/>
          <w:kern w:val="0"/>
          <w:szCs w:val="32"/>
        </w:rPr>
        <w:t>中国科学院院士、中国工程院院士、国家级工程勘察设计大师、享受国务院特殊津贴者，由市住房城乡建设委邀请直接进入评标专家库。</w:t>
      </w:r>
    </w:p>
    <w:p>
      <w:pPr>
        <w:widowControl/>
        <w:shd w:val="clear" w:color="auto" w:fill="FFFFFF"/>
        <w:spacing w:line="560" w:lineRule="exact"/>
        <w:ind w:firstLine="600" w:firstLineChars="200"/>
        <w:rPr>
          <w:rFonts w:ascii="仿宋_GB2312"/>
          <w:kern w:val="0"/>
          <w:szCs w:val="32"/>
        </w:rPr>
      </w:pPr>
      <w:r>
        <w:rPr>
          <w:rFonts w:ascii="仿宋_GB2312"/>
          <w:kern w:val="0"/>
          <w:szCs w:val="32"/>
        </w:rPr>
        <w:t>单位推荐的，</w:t>
      </w:r>
      <w:r>
        <w:rPr>
          <w:rFonts w:hint="eastAsia" w:ascii="仿宋_GB2312"/>
          <w:kern w:val="0"/>
          <w:szCs w:val="32"/>
        </w:rPr>
        <w:t>被推荐人应当是本单位正式在职员工</w:t>
      </w:r>
      <w:r>
        <w:rPr>
          <w:rFonts w:ascii="仿宋_GB2312"/>
          <w:kern w:val="0"/>
          <w:szCs w:val="32"/>
        </w:rPr>
        <w:t>，应事先征得被推荐人同意。</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推荐单位应当配合市住房城乡建设委的评标专家管理工作，对推荐材料的真实性、准确性、完整性负责，对本单位评标专家违法违规行为按照管理权限依法依规进行处理。推荐单位与评标专家终止劳动关系的，应当及时告知市建筑市场中心。</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推荐单位违反上述规定的，暂停该单位推荐工作。</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第八条</w:t>
      </w:r>
      <w:r>
        <w:rPr>
          <w:rFonts w:hint="eastAsia" w:ascii="黑体" w:hAnsi="黑体" w:eastAsia="黑体"/>
          <w:b/>
        </w:rPr>
        <w:t>【入库程序】</w:t>
      </w:r>
      <w:r>
        <w:rPr>
          <w:rFonts w:ascii="仿宋_GB2312"/>
          <w:kern w:val="0"/>
          <w:szCs w:val="32"/>
        </w:rPr>
        <w:t>评标专家入库和审核按照下列程序进行：</w:t>
      </w:r>
    </w:p>
    <w:p>
      <w:pPr>
        <w:widowControl/>
        <w:shd w:val="clear" w:color="auto" w:fill="FFFFFF"/>
        <w:spacing w:line="560" w:lineRule="exact"/>
        <w:ind w:firstLine="600" w:firstLineChars="200"/>
        <w:rPr>
          <w:rFonts w:ascii="仿宋_GB2312"/>
          <w:kern w:val="0"/>
          <w:szCs w:val="32"/>
        </w:rPr>
      </w:pPr>
      <w:r>
        <w:rPr>
          <w:rFonts w:ascii="仿宋_GB2312"/>
          <w:kern w:val="0"/>
          <w:szCs w:val="32"/>
        </w:rPr>
        <w:t>（一）</w:t>
      </w:r>
      <w:r>
        <w:rPr>
          <w:rFonts w:hint="eastAsia" w:ascii="仿宋_GB2312"/>
          <w:kern w:val="0"/>
          <w:szCs w:val="32"/>
        </w:rPr>
        <w:t>市住房城乡建设委发布征集专家入库工作通知，各相关单位开展推荐工作</w:t>
      </w:r>
      <w:r>
        <w:rPr>
          <w:rFonts w:ascii="仿宋_GB2312"/>
          <w:kern w:val="0"/>
          <w:szCs w:val="32"/>
        </w:rPr>
        <w:t>，通过评标专家管理系统提交推荐材料；</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（二）审核推荐材料；</w:t>
      </w:r>
    </w:p>
    <w:p>
      <w:pPr>
        <w:widowControl/>
        <w:shd w:val="clear" w:color="auto" w:fill="FFFFFF"/>
        <w:spacing w:line="560" w:lineRule="exact"/>
        <w:ind w:firstLine="600" w:firstLineChars="200"/>
        <w:rPr>
          <w:rFonts w:ascii="仿宋_GB2312"/>
          <w:kern w:val="0"/>
          <w:szCs w:val="32"/>
        </w:rPr>
      </w:pPr>
      <w:r>
        <w:rPr>
          <w:rFonts w:ascii="仿宋_GB2312"/>
          <w:kern w:val="0"/>
          <w:szCs w:val="32"/>
        </w:rPr>
        <w:t>（</w:t>
      </w:r>
      <w:r>
        <w:rPr>
          <w:rFonts w:hint="eastAsia" w:ascii="仿宋_GB2312"/>
          <w:kern w:val="0"/>
          <w:szCs w:val="32"/>
        </w:rPr>
        <w:t>三</w:t>
      </w:r>
      <w:r>
        <w:rPr>
          <w:rFonts w:ascii="仿宋_GB2312"/>
          <w:kern w:val="0"/>
          <w:szCs w:val="32"/>
        </w:rPr>
        <w:t>）</w:t>
      </w:r>
      <w:r>
        <w:rPr>
          <w:rFonts w:hint="eastAsia" w:ascii="仿宋_GB2312"/>
          <w:kern w:val="0"/>
          <w:szCs w:val="32"/>
        </w:rPr>
        <w:t>推荐材料</w:t>
      </w:r>
      <w:r>
        <w:rPr>
          <w:rFonts w:ascii="仿宋_GB2312"/>
          <w:kern w:val="0"/>
          <w:szCs w:val="32"/>
        </w:rPr>
        <w:t>通过</w:t>
      </w:r>
      <w:r>
        <w:rPr>
          <w:rFonts w:hint="eastAsia" w:ascii="仿宋_GB2312"/>
          <w:kern w:val="0"/>
          <w:szCs w:val="32"/>
        </w:rPr>
        <w:t>审核的，参加法律法规、评标实务、评标纪律、廉洁自律等方面的</w:t>
      </w:r>
      <w:r>
        <w:rPr>
          <w:rFonts w:ascii="仿宋_GB2312"/>
          <w:kern w:val="0"/>
          <w:szCs w:val="32"/>
        </w:rPr>
        <w:t>培训考核</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（四）</w:t>
      </w:r>
      <w:r>
        <w:rPr>
          <w:rFonts w:ascii="仿宋_GB2312"/>
          <w:kern w:val="0"/>
          <w:szCs w:val="32"/>
        </w:rPr>
        <w:t>考核通过的</w:t>
      </w:r>
      <w:r>
        <w:rPr>
          <w:rFonts w:hint="eastAsia" w:ascii="仿宋_GB2312"/>
          <w:kern w:val="0"/>
          <w:szCs w:val="32"/>
        </w:rPr>
        <w:t>，</w:t>
      </w:r>
      <w:r>
        <w:rPr>
          <w:rFonts w:ascii="仿宋_GB2312"/>
          <w:kern w:val="0"/>
          <w:szCs w:val="32"/>
        </w:rPr>
        <w:t>纳入评标专家</w:t>
      </w:r>
      <w:r>
        <w:rPr>
          <w:rFonts w:hint="eastAsia" w:ascii="仿宋_GB2312"/>
          <w:kern w:val="0"/>
          <w:szCs w:val="32"/>
        </w:rPr>
        <w:t>库</w:t>
      </w:r>
      <w:r>
        <w:rPr>
          <w:rFonts w:ascii="仿宋_GB2312"/>
          <w:kern w:val="0"/>
          <w:szCs w:val="32"/>
        </w:rPr>
        <w:t>管理。</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第九条</w:t>
      </w:r>
      <w:r>
        <w:rPr>
          <w:rFonts w:hint="eastAsia" w:ascii="黑体" w:hAnsi="黑体" w:eastAsia="黑体"/>
          <w:b/>
        </w:rPr>
        <w:t>【信息变更】</w:t>
      </w:r>
      <w:r>
        <w:rPr>
          <w:rFonts w:ascii="仿宋_GB2312"/>
          <w:kern w:val="0"/>
          <w:szCs w:val="32"/>
        </w:rPr>
        <w:t>涉及联系方式、住址等个人基本信息变更的，由评标专家本人</w:t>
      </w:r>
      <w:r>
        <w:rPr>
          <w:rFonts w:hint="eastAsia" w:ascii="仿宋_GB2312"/>
          <w:kern w:val="0"/>
          <w:szCs w:val="32"/>
        </w:rPr>
        <w:t>在</w:t>
      </w:r>
      <w:r>
        <w:rPr>
          <w:rFonts w:ascii="仿宋_GB2312"/>
          <w:kern w:val="0"/>
          <w:szCs w:val="32"/>
        </w:rPr>
        <w:t>5个工作日</w:t>
      </w:r>
      <w:r>
        <w:rPr>
          <w:rFonts w:hint="eastAsia" w:ascii="仿宋_GB2312"/>
          <w:kern w:val="0"/>
          <w:szCs w:val="32"/>
        </w:rPr>
        <w:t>内，登录</w:t>
      </w:r>
      <w:r>
        <w:rPr>
          <w:rFonts w:ascii="仿宋_GB2312"/>
          <w:kern w:val="0"/>
          <w:szCs w:val="32"/>
        </w:rPr>
        <w:t>评标专家管理系统</w:t>
      </w:r>
      <w:r>
        <w:rPr>
          <w:rFonts w:hint="eastAsia" w:ascii="仿宋_GB2312"/>
          <w:kern w:val="0"/>
          <w:szCs w:val="32"/>
        </w:rPr>
        <w:t>进行</w:t>
      </w:r>
      <w:r>
        <w:rPr>
          <w:rFonts w:ascii="仿宋_GB2312"/>
          <w:kern w:val="0"/>
          <w:szCs w:val="32"/>
        </w:rPr>
        <w:t>修改</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涉及</w:t>
      </w:r>
      <w:r>
        <w:rPr>
          <w:rFonts w:ascii="仿宋_GB2312"/>
          <w:kern w:val="0"/>
          <w:szCs w:val="32"/>
        </w:rPr>
        <w:t>证明评标专家能力等信息变更的，</w:t>
      </w:r>
      <w:r>
        <w:rPr>
          <w:rFonts w:hint="eastAsia" w:ascii="仿宋_GB2312"/>
          <w:kern w:val="0"/>
          <w:szCs w:val="32"/>
        </w:rPr>
        <w:t>由评标专家管理部门每年度集中组织开展；</w:t>
      </w:r>
    </w:p>
    <w:p>
      <w:pPr>
        <w:ind w:firstLine="600" w:firstLineChars="200"/>
        <w:rPr>
          <w:rFonts w:ascii="仿宋_GB2312"/>
          <w:kern w:val="0"/>
          <w:szCs w:val="32"/>
        </w:rPr>
      </w:pPr>
      <w:r>
        <w:rPr>
          <w:rFonts w:hint="eastAsia" w:ascii="仿宋_GB2312"/>
          <w:kern w:val="0"/>
          <w:szCs w:val="32"/>
        </w:rPr>
        <w:t>评标专家工作单位发生变更的，由推荐单位书面告知评标专家管理部门，评标专家取得新单位推荐之前暂停评标。</w:t>
      </w:r>
    </w:p>
    <w:p>
      <w:pPr>
        <w:ind w:firstLine="600" w:firstLineChars="200"/>
        <w:rPr>
          <w:rFonts w:ascii="仿宋_GB2312"/>
          <w:kern w:val="0"/>
          <w:szCs w:val="32"/>
        </w:rPr>
      </w:pPr>
      <w:r>
        <w:rPr>
          <w:rFonts w:ascii="黑体" w:hAnsi="黑体" w:eastAsia="黑体"/>
          <w:b/>
        </w:rPr>
        <w:t>第十条</w:t>
      </w:r>
      <w:r>
        <w:rPr>
          <w:rFonts w:hint="eastAsia" w:ascii="黑体" w:hAnsi="黑体" w:eastAsia="黑体"/>
          <w:b/>
        </w:rPr>
        <w:t>【退出规定】</w:t>
      </w:r>
      <w:r>
        <w:rPr>
          <w:rFonts w:hint="eastAsia" w:ascii="仿宋_GB2312"/>
          <w:kern w:val="0"/>
          <w:szCs w:val="32"/>
        </w:rPr>
        <w:t>评标专家有以下情形之一的，退出评标专家库：</w:t>
      </w:r>
    </w:p>
    <w:p>
      <w:pPr>
        <w:ind w:firstLine="600" w:firstLineChars="200"/>
        <w:rPr>
          <w:rFonts w:ascii="仿宋_GB2312"/>
          <w:kern w:val="0"/>
          <w:szCs w:val="32"/>
        </w:rPr>
      </w:pPr>
      <w:r>
        <w:rPr>
          <w:rFonts w:hint="eastAsia" w:ascii="仿宋_GB2312"/>
          <w:kern w:val="0"/>
          <w:szCs w:val="32"/>
        </w:rPr>
        <w:t>（一）</w:t>
      </w:r>
      <w:r>
        <w:rPr>
          <w:rFonts w:ascii="仿宋_GB2312"/>
          <w:kern w:val="0"/>
          <w:szCs w:val="32"/>
        </w:rPr>
        <w:t>自愿申请</w:t>
      </w:r>
      <w:r>
        <w:rPr>
          <w:rFonts w:hint="eastAsia" w:ascii="仿宋_GB2312"/>
          <w:kern w:val="0"/>
          <w:szCs w:val="32"/>
        </w:rPr>
        <w:t>辞去评标专家的；</w:t>
      </w:r>
    </w:p>
    <w:p>
      <w:pPr>
        <w:ind w:firstLine="600" w:firstLineChars="200"/>
        <w:rPr>
          <w:rFonts w:ascii="仿宋_GB2312"/>
          <w:kern w:val="0"/>
          <w:szCs w:val="32"/>
        </w:rPr>
      </w:pPr>
      <w:r>
        <w:rPr>
          <w:rFonts w:hint="eastAsia" w:ascii="仿宋_GB2312"/>
          <w:kern w:val="0"/>
          <w:szCs w:val="32"/>
        </w:rPr>
        <w:t>（二）推荐单位要求被推荐人退出的。</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符合第（一）项情形的，评标专家经</w:t>
      </w:r>
      <w:r>
        <w:rPr>
          <w:rFonts w:ascii="仿宋_GB2312"/>
          <w:kern w:val="0"/>
          <w:szCs w:val="32"/>
        </w:rPr>
        <w:t>推荐单位同意后在评标专家管理系统提交申请</w:t>
      </w:r>
      <w:r>
        <w:rPr>
          <w:rFonts w:hint="eastAsia" w:ascii="仿宋_GB2312"/>
          <w:kern w:val="0"/>
          <w:szCs w:val="32"/>
        </w:rPr>
        <w:t>，在15个工作日内，经评标专家管理部门核准后出库；符合第（二）项情形的，推荐单位</w:t>
      </w:r>
      <w:r>
        <w:rPr>
          <w:rFonts w:ascii="仿宋_GB2312"/>
          <w:kern w:val="0"/>
          <w:szCs w:val="32"/>
        </w:rPr>
        <w:t>提交申请</w:t>
      </w:r>
      <w:r>
        <w:rPr>
          <w:rFonts w:hint="eastAsia" w:ascii="仿宋_GB2312"/>
          <w:kern w:val="0"/>
          <w:szCs w:val="32"/>
        </w:rPr>
        <w:t>，在15个工作日内，经评标专家管理部门核准后出库。</w:t>
      </w:r>
    </w:p>
    <w:p>
      <w:pPr>
        <w:widowControl/>
        <w:shd w:val="clear" w:color="auto" w:fill="FFFFFF"/>
        <w:spacing w:line="560" w:lineRule="exact"/>
        <w:ind w:firstLine="900" w:firstLineChars="300"/>
        <w:rPr>
          <w:rFonts w:ascii="仿宋_GB2312"/>
          <w:kern w:val="0"/>
          <w:szCs w:val="32"/>
        </w:rPr>
      </w:pPr>
      <w:r>
        <w:rPr>
          <w:rFonts w:ascii="黑体" w:hAnsi="黑体" w:eastAsia="黑体"/>
          <w:b/>
        </w:rPr>
        <w:t>第十一条【信息保密】</w:t>
      </w:r>
      <w:r>
        <w:rPr>
          <w:rFonts w:ascii="仿宋_GB2312"/>
          <w:kern w:val="0"/>
          <w:szCs w:val="32"/>
        </w:rPr>
        <w:t>评标专家库及评标专家信息应当严格保密，除依法配合有关部门调查外，任何单位和个人不得泄露相关信息。</w:t>
      </w:r>
    </w:p>
    <w:p>
      <w:pPr>
        <w:pStyle w:val="2"/>
        <w:spacing w:line="540" w:lineRule="exact"/>
        <w:ind w:firstLine="1800" w:firstLineChars="600"/>
        <w:rPr>
          <w:rFonts w:ascii="黑体" w:hAnsi="黑体" w:eastAsia="黑体" w:cs="黑体"/>
          <w:b w:val="0"/>
          <w:sz w:val="32"/>
          <w:szCs w:val="32"/>
        </w:rPr>
      </w:pPr>
      <w:r>
        <w:rPr>
          <w:rFonts w:hint="eastAsia" w:ascii="黑体" w:hAnsi="黑体" w:eastAsia="黑体" w:cs="黑体"/>
          <w:b w:val="0"/>
          <w:sz w:val="32"/>
          <w:szCs w:val="32"/>
        </w:rPr>
        <w:t>第三章   评标专家权利和义务</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第十二条【评标专家权利】</w:t>
      </w:r>
      <w:r>
        <w:rPr>
          <w:rFonts w:ascii="仿宋_GB2312"/>
          <w:kern w:val="0"/>
          <w:szCs w:val="32"/>
        </w:rPr>
        <w:t>评标专家享有下列权利：</w:t>
      </w:r>
    </w:p>
    <w:p>
      <w:pPr>
        <w:widowControl/>
        <w:shd w:val="clear" w:color="auto" w:fill="FFFFFF"/>
        <w:spacing w:line="560" w:lineRule="exact"/>
        <w:ind w:firstLine="600" w:firstLineChars="200"/>
        <w:rPr>
          <w:rFonts w:ascii="仿宋_GB2312"/>
          <w:kern w:val="0"/>
          <w:szCs w:val="32"/>
        </w:rPr>
      </w:pPr>
      <w:r>
        <w:rPr>
          <w:rFonts w:ascii="仿宋_GB2312"/>
          <w:kern w:val="0"/>
          <w:szCs w:val="32"/>
        </w:rPr>
        <w:t>（一）接受招标人或其委托的招标代理机构聘请，担任评标委员会成员</w:t>
      </w:r>
      <w:r>
        <w:rPr>
          <w:rFonts w:hint="eastAsia" w:ascii="仿宋_GB2312"/>
          <w:kern w:val="0"/>
          <w:szCs w:val="32"/>
        </w:rPr>
        <w:t>，</w:t>
      </w:r>
      <w:r>
        <w:rPr>
          <w:rFonts w:ascii="仿宋_GB2312"/>
          <w:kern w:val="0"/>
          <w:szCs w:val="32"/>
        </w:rPr>
        <w:t>并按规定</w:t>
      </w:r>
      <w:r>
        <w:rPr>
          <w:rFonts w:hint="eastAsia" w:ascii="仿宋_GB2312"/>
          <w:kern w:val="0"/>
          <w:szCs w:val="32"/>
        </w:rPr>
        <w:t>接受合法的劳务报酬；</w:t>
      </w:r>
    </w:p>
    <w:p>
      <w:pPr>
        <w:widowControl/>
        <w:shd w:val="clear" w:color="auto" w:fill="FFFFFF"/>
        <w:spacing w:line="560" w:lineRule="exact"/>
        <w:ind w:firstLine="600" w:firstLineChars="200"/>
        <w:rPr>
          <w:rFonts w:ascii="仿宋_GB2312"/>
          <w:kern w:val="0"/>
          <w:szCs w:val="32"/>
        </w:rPr>
      </w:pPr>
      <w:r>
        <w:rPr>
          <w:rFonts w:ascii="仿宋_GB2312"/>
          <w:kern w:val="0"/>
          <w:szCs w:val="32"/>
        </w:rPr>
        <w:t>（二）依法对投标文件进行独立评审，提出评审意见，不受任何单位或者个人的干预；</w:t>
      </w:r>
    </w:p>
    <w:p>
      <w:pPr>
        <w:ind w:firstLine="600" w:firstLineChars="200"/>
        <w:rPr>
          <w:rFonts w:ascii="仿宋_GB2312"/>
          <w:kern w:val="0"/>
          <w:szCs w:val="32"/>
        </w:rPr>
      </w:pPr>
      <w:r>
        <w:rPr>
          <w:rFonts w:hint="eastAsia" w:ascii="仿宋_GB2312"/>
          <w:kern w:val="0"/>
          <w:szCs w:val="32"/>
        </w:rPr>
        <w:t>（三）在评标过程中，查阅与评标项目有关的文件等资料，对招标文件中含义不明确的问题，要求招标人做出解答或者澄清；</w:t>
      </w:r>
    </w:p>
    <w:p>
      <w:pPr>
        <w:ind w:firstLine="600" w:firstLineChars="200"/>
        <w:rPr>
          <w:rFonts w:ascii="仿宋_GB2312"/>
          <w:kern w:val="0"/>
          <w:szCs w:val="32"/>
        </w:rPr>
      </w:pPr>
      <w:r>
        <w:rPr>
          <w:rFonts w:hint="eastAsia" w:ascii="仿宋_GB2312"/>
          <w:kern w:val="0"/>
          <w:szCs w:val="32"/>
        </w:rPr>
        <w:t>（四）对评标结论有异议的，持不同意见的评标委员会成员应当在评标报告上签署不同意见及理由，否则视为同意评标报告；</w:t>
      </w:r>
    </w:p>
    <w:p>
      <w:pPr>
        <w:widowControl/>
        <w:shd w:val="clear" w:color="auto" w:fill="FFFFFF"/>
        <w:spacing w:line="560" w:lineRule="exact"/>
        <w:ind w:firstLine="600" w:firstLineChars="200"/>
        <w:rPr>
          <w:rFonts w:ascii="仿宋_GB2312"/>
          <w:kern w:val="0"/>
          <w:szCs w:val="32"/>
        </w:rPr>
      </w:pPr>
      <w:r>
        <w:rPr>
          <w:rFonts w:ascii="仿宋_GB2312"/>
          <w:kern w:val="0"/>
          <w:szCs w:val="32"/>
        </w:rPr>
        <w:t>（五）法律法规规章规定的其他权利。</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第十三条【评标专家义务】</w:t>
      </w:r>
      <w:r>
        <w:rPr>
          <w:rFonts w:ascii="仿宋_GB2312"/>
          <w:kern w:val="0"/>
          <w:szCs w:val="32"/>
        </w:rPr>
        <w:t>评标专家负有下列义务：</w:t>
      </w:r>
    </w:p>
    <w:p>
      <w:pPr>
        <w:widowControl/>
        <w:shd w:val="clear" w:color="auto" w:fill="FFFFFF"/>
        <w:spacing w:line="560" w:lineRule="exact"/>
        <w:ind w:firstLine="600" w:firstLineChars="200"/>
        <w:rPr>
          <w:rFonts w:ascii="仿宋_GB2312"/>
          <w:kern w:val="0"/>
          <w:szCs w:val="32"/>
        </w:rPr>
      </w:pPr>
      <w:r>
        <w:rPr>
          <w:rFonts w:ascii="仿宋_GB2312"/>
          <w:kern w:val="0"/>
          <w:szCs w:val="32"/>
        </w:rPr>
        <w:t xml:space="preserve">（一）保证提供的信息真实、合法、有效，身体状况能胜任评标活动； </w:t>
      </w:r>
    </w:p>
    <w:p>
      <w:pPr>
        <w:widowControl/>
        <w:shd w:val="clear" w:color="auto" w:fill="FFFFFF"/>
        <w:spacing w:line="560" w:lineRule="exact"/>
        <w:ind w:firstLine="600" w:firstLineChars="200"/>
        <w:rPr>
          <w:rFonts w:ascii="仿宋_GB2312"/>
          <w:kern w:val="0"/>
          <w:szCs w:val="32"/>
        </w:rPr>
      </w:pPr>
      <w:r>
        <w:rPr>
          <w:rFonts w:ascii="仿宋_GB2312"/>
          <w:kern w:val="0"/>
          <w:szCs w:val="32"/>
        </w:rPr>
        <w:t xml:space="preserve">（二）存在法律法规规章等规定回避情形的，应当主动提出回避； </w:t>
      </w:r>
    </w:p>
    <w:p>
      <w:pPr>
        <w:widowControl/>
        <w:shd w:val="clear" w:color="auto" w:fill="FFFFFF"/>
        <w:spacing w:line="560" w:lineRule="exact"/>
        <w:ind w:firstLine="600" w:firstLineChars="200"/>
        <w:rPr>
          <w:rFonts w:ascii="仿宋_GB2312"/>
          <w:kern w:val="0"/>
          <w:szCs w:val="32"/>
        </w:rPr>
      </w:pPr>
      <w:r>
        <w:rPr>
          <w:rFonts w:ascii="仿宋_GB2312"/>
          <w:kern w:val="0"/>
          <w:szCs w:val="32"/>
        </w:rPr>
        <w:t>（三）认真执行招标投标的法律法规规章和政策文件，客观公正地按照招标文件明确的评标办法进行评审，对所提出的评审意见承担法律责任；</w:t>
      </w:r>
    </w:p>
    <w:p>
      <w:pPr>
        <w:widowControl/>
        <w:shd w:val="clear" w:color="auto" w:fill="FFFFFF"/>
        <w:spacing w:line="560" w:lineRule="exact"/>
        <w:ind w:firstLine="600" w:firstLineChars="200"/>
        <w:rPr>
          <w:rFonts w:ascii="仿宋_GB2312"/>
          <w:kern w:val="0"/>
          <w:szCs w:val="32"/>
        </w:rPr>
      </w:pPr>
      <w:r>
        <w:rPr>
          <w:rFonts w:ascii="仿宋_GB2312"/>
          <w:kern w:val="0"/>
          <w:szCs w:val="32"/>
        </w:rPr>
        <w:t>（四）评标前收到电话、信息、邮件或者当面等形式请托，可能影响公正评标的，应当及时向招标投标监督管理部门报告；</w:t>
      </w:r>
    </w:p>
    <w:p>
      <w:pPr>
        <w:widowControl/>
        <w:shd w:val="clear" w:color="auto" w:fill="FFFFFF"/>
        <w:spacing w:line="560" w:lineRule="exact"/>
        <w:ind w:firstLine="600" w:firstLineChars="200"/>
        <w:rPr>
          <w:rFonts w:ascii="仿宋_GB2312"/>
          <w:kern w:val="0"/>
          <w:szCs w:val="32"/>
        </w:rPr>
      </w:pPr>
      <w:r>
        <w:rPr>
          <w:rFonts w:ascii="仿宋_GB2312"/>
          <w:kern w:val="0"/>
          <w:szCs w:val="32"/>
        </w:rPr>
        <w:t>（五）不得私下接触投标人，不得收受招标投标活动中有关单位和个人的财物或其他好处，不得透露投标文件的评审、中标候选人的推荐情况以及与评标有关的其他情况；</w:t>
      </w:r>
    </w:p>
    <w:p>
      <w:pPr>
        <w:widowControl/>
        <w:shd w:val="clear" w:color="auto" w:fill="FFFFFF"/>
        <w:spacing w:line="560" w:lineRule="exact"/>
        <w:ind w:firstLine="600" w:firstLineChars="200"/>
        <w:rPr>
          <w:rFonts w:ascii="仿宋_GB2312"/>
          <w:kern w:val="0"/>
          <w:szCs w:val="32"/>
        </w:rPr>
      </w:pPr>
      <w:r>
        <w:rPr>
          <w:rFonts w:ascii="仿宋_GB2312"/>
          <w:kern w:val="0"/>
          <w:szCs w:val="32"/>
        </w:rPr>
        <w:t>（六）按时参加评标活动，因故不能参加评标的，应当及时请假</w:t>
      </w:r>
      <w:r>
        <w:rPr>
          <w:rFonts w:hint="eastAsia" w:ascii="仿宋_GB2312"/>
          <w:kern w:val="0"/>
          <w:szCs w:val="32"/>
        </w:rPr>
        <w:t>；评标时应携带有效身份证明并接受核验;</w:t>
      </w:r>
    </w:p>
    <w:p>
      <w:pPr>
        <w:widowControl/>
        <w:shd w:val="clear" w:color="auto" w:fill="FFFFFF"/>
        <w:spacing w:line="560" w:lineRule="exact"/>
        <w:ind w:firstLine="600" w:firstLineChars="200"/>
        <w:rPr>
          <w:rFonts w:ascii="仿宋_GB2312"/>
          <w:kern w:val="0"/>
          <w:szCs w:val="32"/>
        </w:rPr>
      </w:pPr>
      <w:r>
        <w:rPr>
          <w:rFonts w:ascii="仿宋_GB2312"/>
          <w:kern w:val="0"/>
          <w:szCs w:val="32"/>
        </w:rPr>
        <w:t>（七）遵守评标现场工作纪律，禁止评标过程中与外界联系；不得随意离开评标区，不得大声喧哗，影响评标活动正常进行；</w:t>
      </w:r>
    </w:p>
    <w:p>
      <w:pPr>
        <w:widowControl/>
        <w:shd w:val="clear" w:color="auto" w:fill="FFFFFF"/>
        <w:spacing w:line="560" w:lineRule="exact"/>
        <w:ind w:firstLine="600" w:firstLineChars="200"/>
        <w:rPr>
          <w:rFonts w:ascii="仿宋_GB2312"/>
          <w:kern w:val="0"/>
          <w:szCs w:val="32"/>
        </w:rPr>
      </w:pPr>
      <w:r>
        <w:rPr>
          <w:rFonts w:ascii="仿宋_GB2312"/>
          <w:kern w:val="0"/>
          <w:szCs w:val="32"/>
        </w:rPr>
        <w:t>（八）不得组建或者加入可能影响公正评标的微信群、QQ群等网络通讯群组；</w:t>
      </w:r>
    </w:p>
    <w:p>
      <w:pPr>
        <w:widowControl/>
        <w:shd w:val="clear" w:color="auto" w:fill="FFFFFF"/>
        <w:spacing w:line="560" w:lineRule="exact"/>
        <w:ind w:firstLine="600" w:firstLineChars="200"/>
        <w:rPr>
          <w:rFonts w:ascii="仿宋_GB2312"/>
          <w:kern w:val="0"/>
          <w:szCs w:val="32"/>
        </w:rPr>
      </w:pPr>
      <w:r>
        <w:rPr>
          <w:rFonts w:ascii="仿宋_GB2312"/>
          <w:kern w:val="0"/>
          <w:szCs w:val="32"/>
        </w:rPr>
        <w:t>（九）配合招标人处理有关评标结果的异议；</w:t>
      </w:r>
    </w:p>
    <w:p>
      <w:pPr>
        <w:widowControl/>
        <w:shd w:val="clear" w:color="auto" w:fill="FFFFFF"/>
        <w:spacing w:line="560" w:lineRule="exact"/>
        <w:ind w:firstLine="600" w:firstLineChars="200"/>
        <w:rPr>
          <w:rFonts w:ascii="仿宋_GB2312"/>
          <w:kern w:val="0"/>
          <w:szCs w:val="32"/>
        </w:rPr>
      </w:pPr>
      <w:r>
        <w:rPr>
          <w:rFonts w:ascii="仿宋_GB2312"/>
          <w:kern w:val="0"/>
          <w:szCs w:val="32"/>
        </w:rPr>
        <w:t>（十）协助、配合监督检查；</w:t>
      </w:r>
    </w:p>
    <w:p>
      <w:pPr>
        <w:widowControl/>
        <w:shd w:val="clear" w:color="auto" w:fill="FFFFFF"/>
        <w:spacing w:line="560" w:lineRule="exact"/>
        <w:ind w:firstLine="600" w:firstLineChars="200"/>
        <w:rPr>
          <w:rFonts w:ascii="仿宋_GB2312"/>
          <w:kern w:val="0"/>
          <w:szCs w:val="32"/>
        </w:rPr>
      </w:pPr>
      <w:r>
        <w:rPr>
          <w:rFonts w:ascii="仿宋_GB2312"/>
          <w:kern w:val="0"/>
          <w:szCs w:val="32"/>
        </w:rPr>
        <w:t>（十一）对于评标过程中发现的涉嫌违法违规行为，及时向招标人或招标投标监督管理部门反映、举报；</w:t>
      </w:r>
    </w:p>
    <w:p>
      <w:pPr>
        <w:widowControl/>
        <w:shd w:val="clear" w:color="auto" w:fill="FFFFFF"/>
        <w:spacing w:line="560" w:lineRule="exact"/>
        <w:ind w:firstLine="600" w:firstLineChars="200"/>
        <w:rPr>
          <w:rFonts w:ascii="仿宋_GB2312"/>
          <w:kern w:val="0"/>
          <w:szCs w:val="32"/>
        </w:rPr>
      </w:pPr>
      <w:r>
        <w:rPr>
          <w:rFonts w:ascii="仿宋_GB2312"/>
          <w:kern w:val="0"/>
          <w:szCs w:val="32"/>
        </w:rPr>
        <w:t>（十二）按规定参加教育培训；</w:t>
      </w:r>
    </w:p>
    <w:p>
      <w:pPr>
        <w:widowControl/>
        <w:shd w:val="clear" w:color="auto" w:fill="FFFFFF"/>
        <w:spacing w:line="560" w:lineRule="exact"/>
        <w:ind w:firstLine="600" w:firstLineChars="200"/>
        <w:rPr>
          <w:rFonts w:ascii="仿宋_GB2312"/>
          <w:kern w:val="0"/>
          <w:szCs w:val="32"/>
        </w:rPr>
      </w:pPr>
      <w:r>
        <w:rPr>
          <w:rFonts w:ascii="仿宋_GB2312"/>
          <w:kern w:val="0"/>
          <w:szCs w:val="32"/>
        </w:rPr>
        <w:t>（十三）法律法规规章等规定的其他义务。</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第十四条【回避情形】</w:t>
      </w:r>
      <w:r>
        <w:rPr>
          <w:rFonts w:ascii="仿宋_GB2312"/>
          <w:kern w:val="0"/>
          <w:szCs w:val="32"/>
        </w:rPr>
        <w:t>评标专家具有下列情形之一的，应当向招标人或者招标投标监督管理部门主动申请回避，未申请回避的，招标人或者招标投标监督管理部门发现后应当立即暂停其参与评标活动：</w:t>
      </w:r>
    </w:p>
    <w:p>
      <w:pPr>
        <w:widowControl/>
        <w:shd w:val="clear" w:color="auto" w:fill="FFFFFF"/>
        <w:spacing w:line="560" w:lineRule="exact"/>
        <w:ind w:firstLine="600" w:firstLineChars="200"/>
        <w:rPr>
          <w:rFonts w:ascii="仿宋_GB2312"/>
          <w:kern w:val="0"/>
          <w:szCs w:val="32"/>
        </w:rPr>
      </w:pPr>
      <w:r>
        <w:rPr>
          <w:rFonts w:ascii="仿宋_GB2312"/>
          <w:kern w:val="0"/>
          <w:szCs w:val="32"/>
        </w:rPr>
        <w:t>（一）参加评标活动前3年内与投标人存在劳动关系，或者以全职或兼职方式担任过投标人的董事、监事，或者是投标人的股东或实际控制人；</w:t>
      </w:r>
    </w:p>
    <w:p>
      <w:pPr>
        <w:widowControl/>
        <w:shd w:val="clear" w:color="auto" w:fill="FFFFFF"/>
        <w:spacing w:line="560" w:lineRule="exact"/>
        <w:ind w:firstLine="600" w:firstLineChars="200"/>
        <w:rPr>
          <w:rFonts w:ascii="仿宋_GB2312"/>
          <w:kern w:val="0"/>
          <w:szCs w:val="32"/>
        </w:rPr>
      </w:pPr>
      <w:r>
        <w:rPr>
          <w:rFonts w:ascii="仿宋_GB2312"/>
          <w:kern w:val="0"/>
          <w:szCs w:val="32"/>
        </w:rPr>
        <w:t>（二）与投标人发生过法律纠纷；</w:t>
      </w:r>
    </w:p>
    <w:p>
      <w:pPr>
        <w:widowControl/>
        <w:shd w:val="clear" w:color="auto" w:fill="FFFFFF"/>
        <w:spacing w:line="560" w:lineRule="exact"/>
        <w:ind w:firstLine="600" w:firstLineChars="200"/>
        <w:rPr>
          <w:rFonts w:ascii="仿宋_GB2312"/>
          <w:kern w:val="0"/>
          <w:szCs w:val="32"/>
        </w:rPr>
      </w:pPr>
      <w:r>
        <w:rPr>
          <w:rFonts w:ascii="仿宋_GB2312"/>
          <w:kern w:val="0"/>
          <w:szCs w:val="32"/>
        </w:rPr>
        <w:t>（三）与投标人的法定代表人或者负责人有夫妻、直系血亲、三代以内旁系血亲或者近姻亲关系</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ascii="仿宋_GB2312"/>
          <w:kern w:val="0"/>
          <w:szCs w:val="32"/>
        </w:rPr>
        <w:t>（四）所在单位与投标人存在控股关系或为同一法定代表人的；</w:t>
      </w:r>
    </w:p>
    <w:p>
      <w:pPr>
        <w:widowControl/>
        <w:shd w:val="clear" w:color="auto" w:fill="FFFFFF"/>
        <w:spacing w:line="560" w:lineRule="exact"/>
        <w:ind w:firstLine="600" w:firstLineChars="200"/>
        <w:rPr>
          <w:rFonts w:ascii="仿宋_GB2312"/>
          <w:kern w:val="0"/>
          <w:szCs w:val="32"/>
        </w:rPr>
      </w:pPr>
      <w:r>
        <w:rPr>
          <w:rFonts w:ascii="仿宋_GB2312"/>
          <w:kern w:val="0"/>
          <w:szCs w:val="32"/>
        </w:rPr>
        <w:t>（五）与投标人有其他可能影响评标活动公平、公正进行的关系；</w:t>
      </w:r>
    </w:p>
    <w:p>
      <w:pPr>
        <w:widowControl/>
        <w:shd w:val="clear" w:color="auto" w:fill="FFFFFF"/>
        <w:spacing w:line="560" w:lineRule="exact"/>
        <w:ind w:firstLine="600" w:firstLineChars="200"/>
        <w:rPr>
          <w:rFonts w:ascii="仿宋_GB2312"/>
          <w:kern w:val="0"/>
          <w:szCs w:val="32"/>
        </w:rPr>
      </w:pPr>
      <w:r>
        <w:rPr>
          <w:rFonts w:ascii="仿宋_GB2312"/>
          <w:kern w:val="0"/>
          <w:szCs w:val="32"/>
        </w:rPr>
        <w:t>（六）是项目招标人或招标代理机构的工作人员；</w:t>
      </w:r>
    </w:p>
    <w:p>
      <w:pPr>
        <w:widowControl/>
        <w:shd w:val="clear" w:color="auto" w:fill="FFFFFF"/>
        <w:spacing w:line="560" w:lineRule="exact"/>
        <w:ind w:firstLine="600" w:firstLineChars="200"/>
        <w:rPr>
          <w:rFonts w:ascii="仿宋_GB2312"/>
          <w:kern w:val="0"/>
          <w:szCs w:val="32"/>
        </w:rPr>
      </w:pPr>
      <w:r>
        <w:rPr>
          <w:rFonts w:ascii="仿宋_GB2312"/>
          <w:kern w:val="0"/>
          <w:szCs w:val="32"/>
        </w:rPr>
        <w:t>（七）是项目主管部门或监督部门的工作人员；</w:t>
      </w:r>
    </w:p>
    <w:p>
      <w:pPr>
        <w:widowControl/>
        <w:shd w:val="clear" w:color="auto" w:fill="FFFFFF"/>
        <w:spacing w:line="560" w:lineRule="exact"/>
        <w:ind w:firstLine="600" w:firstLineChars="200"/>
        <w:rPr>
          <w:rFonts w:ascii="仿宋_GB2312"/>
          <w:kern w:val="0"/>
          <w:szCs w:val="32"/>
        </w:rPr>
      </w:pPr>
      <w:r>
        <w:rPr>
          <w:rFonts w:ascii="仿宋_GB2312"/>
          <w:kern w:val="0"/>
          <w:szCs w:val="32"/>
        </w:rPr>
        <w:t>（八）法律法规规章等规定的其他情形。</w:t>
      </w:r>
    </w:p>
    <w:p>
      <w:pPr>
        <w:pStyle w:val="5"/>
        <w:spacing w:line="560" w:lineRule="exact"/>
        <w:jc w:val="both"/>
        <w:rPr>
          <w:b/>
          <w:kern w:val="0"/>
          <w:szCs w:val="32"/>
        </w:rPr>
      </w:pPr>
    </w:p>
    <w:p>
      <w:pPr>
        <w:pStyle w:val="2"/>
        <w:spacing w:line="540" w:lineRule="exact"/>
        <w:ind w:firstLine="2700" w:firstLineChars="900"/>
        <w:rPr>
          <w:rFonts w:ascii="黑体" w:hAnsi="黑体" w:eastAsia="黑体" w:cs="黑体"/>
          <w:b w:val="0"/>
          <w:sz w:val="32"/>
          <w:szCs w:val="32"/>
        </w:rPr>
      </w:pPr>
      <w:r>
        <w:rPr>
          <w:rFonts w:hint="eastAsia" w:ascii="黑体" w:hAnsi="黑体" w:eastAsia="黑体" w:cs="黑体"/>
          <w:b w:val="0"/>
          <w:sz w:val="32"/>
          <w:szCs w:val="32"/>
        </w:rPr>
        <w:t>第四章   评标专家抽取</w:t>
      </w:r>
    </w:p>
    <w:p>
      <w:pPr>
        <w:pStyle w:val="5"/>
        <w:spacing w:line="560" w:lineRule="exact"/>
        <w:jc w:val="both"/>
        <w:rPr>
          <w:b/>
          <w:kern w:val="0"/>
          <w:szCs w:val="32"/>
        </w:rPr>
      </w:pPr>
      <w:r>
        <w:rPr>
          <w:rFonts w:ascii="黑体" w:hAnsi="黑体" w:eastAsia="黑体"/>
          <w:b/>
        </w:rPr>
        <w:t>第十五条【一般抽取规定】</w:t>
      </w:r>
      <w:r>
        <w:rPr>
          <w:rFonts w:ascii="仿宋_GB2312"/>
          <w:kern w:val="0"/>
          <w:szCs w:val="32"/>
        </w:rPr>
        <w:t>依法必须公开招标的</w:t>
      </w:r>
      <w:r>
        <w:rPr>
          <w:rFonts w:hint="eastAsia" w:ascii="仿宋_GB2312"/>
          <w:kern w:val="0"/>
          <w:szCs w:val="32"/>
        </w:rPr>
        <w:t>房建市政</w:t>
      </w:r>
      <w:r>
        <w:rPr>
          <w:rFonts w:ascii="仿宋_GB2312"/>
          <w:kern w:val="0"/>
          <w:szCs w:val="32"/>
        </w:rPr>
        <w:t>工程，招标人应当在评标前24小时内，通过抽取平台在评标专家库随机抽取评标专家，组建评标委员会。招标人在线提出抽取申请，招标监督管理部门对抽取工作进行监督，建设工程交易服务部门对抽取信息进行确认。建设工程交易服务部门工作人员应当于开标后30分钟内，在招标人、招标监督人员监督下打印出评标专家名单。</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第十六条【应急抽取规定】</w:t>
      </w:r>
      <w:r>
        <w:rPr>
          <w:rFonts w:ascii="仿宋_GB2312"/>
          <w:kern w:val="0"/>
          <w:szCs w:val="32"/>
        </w:rPr>
        <w:t>依法确定的评标委员会成员，非因法律法规规章和本办法规定的事由，不得更换。已抽取的评标专家有下列情形之一的，经招标人、招标监督人员结合评标现场实际情况确认后，可以通过抽取平台在线应急抽取评标专家进行更换：</w:t>
      </w:r>
    </w:p>
    <w:p>
      <w:pPr>
        <w:widowControl/>
        <w:shd w:val="clear" w:color="auto" w:fill="FFFFFF"/>
        <w:spacing w:line="560" w:lineRule="exact"/>
        <w:ind w:firstLine="600" w:firstLineChars="200"/>
        <w:rPr>
          <w:rFonts w:ascii="仿宋_GB2312"/>
          <w:kern w:val="0"/>
          <w:szCs w:val="32"/>
        </w:rPr>
      </w:pPr>
      <w:r>
        <w:rPr>
          <w:rFonts w:ascii="仿宋_GB2312"/>
          <w:kern w:val="0"/>
          <w:szCs w:val="32"/>
        </w:rPr>
        <w:t>（一）需要回避的；</w:t>
      </w:r>
    </w:p>
    <w:p>
      <w:pPr>
        <w:widowControl/>
        <w:shd w:val="clear" w:color="auto" w:fill="FFFFFF"/>
        <w:spacing w:line="560" w:lineRule="exact"/>
        <w:ind w:firstLine="600" w:firstLineChars="200"/>
        <w:rPr>
          <w:rFonts w:ascii="仿宋_GB2312"/>
          <w:kern w:val="0"/>
          <w:szCs w:val="32"/>
        </w:rPr>
      </w:pPr>
      <w:r>
        <w:rPr>
          <w:rFonts w:ascii="仿宋_GB2312"/>
          <w:kern w:val="0"/>
          <w:szCs w:val="32"/>
        </w:rPr>
        <w:t>（二）超过约定签到时间30分钟的</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（三）在评标过程中发现评标专家存在徇私舞弊、不按规定评标、擅离职守等违反评标纪律情形或者因健康原因不能继续评标的；</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（四）法律、法规、规章规定的其他情形。</w:t>
      </w:r>
    </w:p>
    <w:p>
      <w:pPr>
        <w:widowControl/>
        <w:shd w:val="clear" w:color="auto" w:fill="FFFFFF"/>
        <w:spacing w:line="560" w:lineRule="exact"/>
        <w:ind w:firstLine="600" w:firstLineChars="200"/>
        <w:rPr>
          <w:rFonts w:ascii="仿宋_GB2312"/>
          <w:kern w:val="0"/>
          <w:szCs w:val="32"/>
        </w:rPr>
      </w:pPr>
      <w:r>
        <w:rPr>
          <w:rFonts w:ascii="黑体" w:hAnsi="黑体" w:eastAsia="黑体"/>
          <w:b/>
        </w:rPr>
        <w:t>第十七条【保密规定】</w:t>
      </w:r>
      <w:r>
        <w:rPr>
          <w:rFonts w:ascii="仿宋_GB2312"/>
          <w:kern w:val="0"/>
          <w:szCs w:val="32"/>
        </w:rPr>
        <w:t>评标专家的抽取、通知等活动应当严格保密。评标委员会成员名单在中标结果确定前不得对外公开。评标专家在收到参加评标的通知后，不得向任何人泄露参加评标的具体信息。</w:t>
      </w:r>
    </w:p>
    <w:p>
      <w:pPr>
        <w:widowControl/>
        <w:shd w:val="clear" w:color="auto" w:fill="FFFFFF"/>
        <w:spacing w:line="560" w:lineRule="exact"/>
        <w:ind w:firstLine="600" w:firstLineChars="200"/>
        <w:rPr>
          <w:rFonts w:ascii="仿宋_GB2312"/>
          <w:kern w:val="0"/>
          <w:szCs w:val="32"/>
        </w:rPr>
      </w:pPr>
      <w:r>
        <w:rPr>
          <w:rFonts w:hint="eastAsia" w:ascii="黑体" w:hAnsi="黑体" w:eastAsia="黑体"/>
          <w:b/>
        </w:rPr>
        <w:t>第十八条【评审费支付】</w:t>
      </w:r>
      <w:r>
        <w:rPr>
          <w:rFonts w:hint="eastAsia" w:ascii="仿宋_GB2312"/>
          <w:kern w:val="0"/>
          <w:szCs w:val="32"/>
        </w:rPr>
        <w:t>评标专家参与评标活动的评审费应由招标人或其委托的招标代理机构支付，支付标准可参照《</w:t>
      </w:r>
      <w:r>
        <w:rPr>
          <w:rFonts w:ascii="仿宋_GB2312"/>
          <w:kern w:val="0"/>
          <w:szCs w:val="32"/>
        </w:rPr>
        <w:t>天津市</w:t>
      </w:r>
      <w:r>
        <w:rPr>
          <w:rFonts w:hint="eastAsia" w:ascii="仿宋_GB2312"/>
          <w:kern w:val="0"/>
          <w:szCs w:val="32"/>
        </w:rPr>
        <w:t>房屋建筑和市政基础设施工程</w:t>
      </w:r>
      <w:r>
        <w:rPr>
          <w:rFonts w:ascii="仿宋_GB2312"/>
          <w:kern w:val="0"/>
          <w:szCs w:val="32"/>
        </w:rPr>
        <w:t>评标专家评审费</w:t>
      </w:r>
      <w:r>
        <w:rPr>
          <w:rFonts w:hint="eastAsia" w:ascii="仿宋_GB2312"/>
          <w:kern w:val="0"/>
          <w:szCs w:val="32"/>
        </w:rPr>
        <w:t>标准》。在评标活动结束30日内，招标人或其委托的招标代理机构应当通过银行转账方式向评标专家支付评审费。</w:t>
      </w:r>
    </w:p>
    <w:p>
      <w:pPr>
        <w:pStyle w:val="2"/>
        <w:spacing w:line="540" w:lineRule="exact"/>
        <w:ind w:firstLine="2400" w:firstLineChars="800"/>
        <w:rPr>
          <w:rFonts w:ascii="黑体" w:hAnsi="黑体" w:eastAsia="黑体" w:cs="黑体"/>
          <w:b w:val="0"/>
          <w:sz w:val="32"/>
          <w:szCs w:val="32"/>
        </w:rPr>
      </w:pPr>
      <w:r>
        <w:rPr>
          <w:rFonts w:hint="eastAsia" w:ascii="黑体" w:hAnsi="黑体" w:eastAsia="黑体" w:cs="黑体"/>
          <w:b w:val="0"/>
          <w:sz w:val="32"/>
          <w:szCs w:val="32"/>
        </w:rPr>
        <w:t>第五章  评标专家信用评价</w:t>
      </w:r>
    </w:p>
    <w:p>
      <w:pPr>
        <w:widowControl/>
        <w:shd w:val="clear" w:color="auto" w:fill="FFFFFF"/>
        <w:spacing w:line="560" w:lineRule="exact"/>
        <w:ind w:firstLine="600" w:firstLineChars="200"/>
        <w:rPr>
          <w:rFonts w:ascii="仿宋_GB2312"/>
          <w:kern w:val="0"/>
          <w:szCs w:val="32"/>
        </w:rPr>
      </w:pPr>
      <w:r>
        <w:rPr>
          <w:rFonts w:hint="eastAsia" w:ascii="黑体" w:hAnsi="黑体" w:eastAsia="黑体"/>
          <w:b/>
        </w:rPr>
        <w:t>第十九</w:t>
      </w:r>
      <w:r>
        <w:rPr>
          <w:rFonts w:ascii="黑体" w:hAnsi="黑体" w:eastAsia="黑体"/>
          <w:b/>
        </w:rPr>
        <w:t>条【信用评价】</w:t>
      </w:r>
      <w:r>
        <w:rPr>
          <w:rFonts w:ascii="仿宋_GB2312"/>
          <w:kern w:val="0"/>
          <w:szCs w:val="32"/>
        </w:rPr>
        <w:t>本市对评标专家实行信用评价管理，评价内容包括基础信息维护情况、遵守交易场所纪律情况、遵守评审纪律情况、评审质量、公正履职情况等方面。信用评价采用一标一评的方式进行，基础分100分，在每次评标活动结束后5个工作日内由</w:t>
      </w:r>
      <w:r>
        <w:rPr>
          <w:rFonts w:hint="eastAsia" w:ascii="仿宋_GB2312"/>
          <w:kern w:val="0"/>
          <w:szCs w:val="32"/>
        </w:rPr>
        <w:t>市建筑市场中心、各区住房建设委</w:t>
      </w:r>
      <w:r>
        <w:rPr>
          <w:rFonts w:ascii="仿宋_GB2312"/>
          <w:kern w:val="0"/>
          <w:szCs w:val="32"/>
        </w:rPr>
        <w:t>、建设工程交易服务部门按照《</w:t>
      </w:r>
      <w:r>
        <w:rPr>
          <w:rFonts w:hint="eastAsia" w:ascii="仿宋_GB2312"/>
          <w:kern w:val="0"/>
          <w:szCs w:val="32"/>
        </w:rPr>
        <w:t>天津市房屋建筑和市政基础设施工程评标专家信用记分标准表</w:t>
      </w:r>
      <w:r>
        <w:rPr>
          <w:rFonts w:ascii="仿宋_GB2312"/>
          <w:kern w:val="0"/>
          <w:szCs w:val="32"/>
        </w:rPr>
        <w:t>》，对存在的违法违规行为作出减分处理，记入评标专家信用档案，根据评价结果，实施动态管理。</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第二十条【减分时效】</w:t>
      </w:r>
      <w:r>
        <w:rPr>
          <w:rFonts w:ascii="仿宋_GB2312"/>
          <w:kern w:val="0"/>
          <w:szCs w:val="32"/>
        </w:rPr>
        <w:t>评标专家因存在违法违规行为被减分处理后，在12个月内未再次被减分的，被减分值清零，评标专家管理系统保留减分记录。</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第二十一条【追加减分】</w:t>
      </w:r>
      <w:r>
        <w:rPr>
          <w:rFonts w:ascii="仿宋_GB2312"/>
          <w:kern w:val="0"/>
          <w:szCs w:val="32"/>
        </w:rPr>
        <w:t>招标项目如因投诉等情况经调查证实，由于评标专家自身原因影响评标结果公正的，应当追加作出减分处理。</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第二十二条【信用评价管理措施】</w:t>
      </w:r>
      <w:r>
        <w:rPr>
          <w:rFonts w:hint="eastAsia" w:ascii="仿宋_GB2312"/>
          <w:kern w:val="0"/>
          <w:szCs w:val="32"/>
        </w:rPr>
        <w:t>信用评价记分标准满分为100分，</w:t>
      </w:r>
      <w:r>
        <w:rPr>
          <w:rFonts w:ascii="仿宋_GB2312"/>
          <w:kern w:val="0"/>
          <w:szCs w:val="32"/>
        </w:rPr>
        <w:t>评标专家因违法违规被减分处理后，市建筑市场中心根据得分情况</w:t>
      </w:r>
      <w:r>
        <w:rPr>
          <w:rFonts w:hint="eastAsia" w:ascii="仿宋_GB2312"/>
          <w:kern w:val="0"/>
          <w:szCs w:val="32"/>
        </w:rPr>
        <w:t>，</w:t>
      </w:r>
      <w:r>
        <w:rPr>
          <w:rFonts w:ascii="仿宋_GB2312"/>
          <w:kern w:val="0"/>
          <w:szCs w:val="32"/>
        </w:rPr>
        <w:t>在评标专家管理系统中作出警示标记</w:t>
      </w:r>
      <w:r>
        <w:rPr>
          <w:rFonts w:hint="eastAsia" w:ascii="仿宋_GB2312"/>
          <w:kern w:val="0"/>
          <w:szCs w:val="32"/>
        </w:rPr>
        <w:t>，</w:t>
      </w:r>
      <w:r>
        <w:rPr>
          <w:rFonts w:ascii="仿宋_GB2312"/>
          <w:kern w:val="0"/>
          <w:szCs w:val="32"/>
        </w:rPr>
        <w:t>并采取相应管理措施</w:t>
      </w:r>
      <w:r>
        <w:rPr>
          <w:rFonts w:hint="eastAsia" w:ascii="仿宋_GB2312"/>
          <w:kern w:val="0"/>
          <w:szCs w:val="32"/>
        </w:rPr>
        <w:t>。</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（一）得分在81分至90分（含）区间的，进行警示约谈，在评标专家系统中作蓝色警示标记；</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（二）得分在76分至80分（含）区间的,从次日起3个月内暂停评标，在评标专家系统中作黄色警示标记；</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（三）得分在70分至75分（含）区间的，从次日起6个月内暂停评标，在评标专家系统中作橙色警示标记；</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（四）得分在61分至69分（含）区间的，从次日起12个月内暂停评标，在评标专家系统中作红色警示标记；</w:t>
      </w:r>
    </w:p>
    <w:p>
      <w:pPr>
        <w:widowControl/>
        <w:shd w:val="clear" w:color="auto" w:fill="FFFFFF"/>
        <w:spacing w:line="560" w:lineRule="exact"/>
        <w:ind w:firstLine="600" w:firstLineChars="200"/>
        <w:rPr>
          <w:rFonts w:ascii="仿宋_GB2312"/>
          <w:kern w:val="0"/>
          <w:szCs w:val="32"/>
        </w:rPr>
      </w:pPr>
      <w:r>
        <w:rPr>
          <w:rFonts w:hint="eastAsia" w:ascii="仿宋_GB2312"/>
          <w:kern w:val="0"/>
          <w:szCs w:val="32"/>
        </w:rPr>
        <w:t>（五）得分低于60分（含）的，清出评标专家库，不得再次申请进入评标专家库。</w:t>
      </w:r>
    </w:p>
    <w:p>
      <w:pPr>
        <w:widowControl/>
        <w:shd w:val="clear" w:color="auto" w:fill="FFFFFF"/>
        <w:spacing w:line="560" w:lineRule="exact"/>
        <w:ind w:firstLine="600" w:firstLineChars="200"/>
        <w:rPr>
          <w:rFonts w:ascii="仿宋_GB2312"/>
          <w:kern w:val="0"/>
          <w:szCs w:val="32"/>
        </w:rPr>
      </w:pPr>
      <w:r>
        <w:rPr>
          <w:rFonts w:ascii="仿宋_GB2312"/>
          <w:kern w:val="0"/>
          <w:szCs w:val="32"/>
        </w:rPr>
        <w:t>评标专家涉嫌违法违纪行为，经相关监管部门提出，调查期间可以采取暂停评标等管理措施。</w:t>
      </w:r>
    </w:p>
    <w:p>
      <w:pPr>
        <w:widowControl/>
        <w:shd w:val="clear" w:color="auto" w:fill="FFFFFF"/>
        <w:spacing w:line="560" w:lineRule="exact"/>
        <w:ind w:firstLine="600" w:firstLineChars="200"/>
        <w:jc w:val="left"/>
        <w:rPr>
          <w:rFonts w:ascii="仿宋_GB2312"/>
          <w:kern w:val="0"/>
          <w:szCs w:val="32"/>
        </w:rPr>
      </w:pPr>
      <w:r>
        <w:rPr>
          <w:rFonts w:ascii="黑体" w:hAnsi="黑体" w:eastAsia="黑体"/>
          <w:b/>
        </w:rPr>
        <w:t>第二十三条【异议处理】</w:t>
      </w:r>
      <w:r>
        <w:rPr>
          <w:rFonts w:ascii="仿宋_GB2312"/>
          <w:kern w:val="0"/>
          <w:szCs w:val="32"/>
        </w:rPr>
        <w:t>评标专家可以通过评标专家管理系统查询本人的信用评价情况，对评价结果有异议的，</w:t>
      </w:r>
      <w:r>
        <w:rPr>
          <w:rFonts w:hint="eastAsia" w:ascii="仿宋_GB2312"/>
          <w:kern w:val="0"/>
          <w:szCs w:val="32"/>
        </w:rPr>
        <w:t>可在评价结果公布后10个工作日内提出异议。</w:t>
      </w:r>
    </w:p>
    <w:p>
      <w:pPr>
        <w:widowControl/>
        <w:shd w:val="clear" w:color="auto" w:fill="FFFFFF"/>
        <w:spacing w:line="560" w:lineRule="exact"/>
        <w:ind w:firstLine="600" w:firstLineChars="200"/>
        <w:jc w:val="left"/>
        <w:rPr>
          <w:rFonts w:hint="eastAsia" w:ascii="仿宋_GB2312"/>
          <w:kern w:val="0"/>
          <w:szCs w:val="32"/>
        </w:rPr>
      </w:pPr>
      <w:r>
        <w:rPr>
          <w:rFonts w:ascii="仿宋_GB2312"/>
          <w:kern w:val="0"/>
          <w:szCs w:val="32"/>
        </w:rPr>
        <w:t>异议期间不影响评价结果及其运用，异议处理需要变更、撤销原减分记录和管理措施的，</w:t>
      </w:r>
      <w:r>
        <w:rPr>
          <w:rFonts w:hint="eastAsia" w:ascii="仿宋_GB2312"/>
          <w:kern w:val="0"/>
          <w:szCs w:val="32"/>
        </w:rPr>
        <w:t>评标专家管理部门</w:t>
      </w:r>
      <w:r>
        <w:rPr>
          <w:rFonts w:ascii="仿宋_GB2312"/>
          <w:kern w:val="0"/>
          <w:szCs w:val="32"/>
        </w:rPr>
        <w:t>通过评标专家管理系统完成。</w:t>
      </w:r>
    </w:p>
    <w:p>
      <w:pPr>
        <w:widowControl/>
        <w:shd w:val="clear" w:color="auto" w:fill="FFFFFF"/>
        <w:spacing w:line="560" w:lineRule="exact"/>
        <w:jc w:val="center"/>
        <w:rPr>
          <w:rFonts w:hint="eastAsia" w:ascii="黑体" w:hAnsi="黑体" w:eastAsia="黑体" w:cs="黑体"/>
          <w:szCs w:val="32"/>
        </w:rPr>
      </w:pPr>
    </w:p>
    <w:p>
      <w:pPr>
        <w:widowControl/>
        <w:shd w:val="clear" w:color="auto" w:fill="FFFFFF"/>
        <w:spacing w:line="560" w:lineRule="exact"/>
        <w:jc w:val="center"/>
        <w:rPr>
          <w:rFonts w:hint="eastAsia" w:ascii="黑体" w:hAnsi="黑体" w:eastAsia="黑体" w:cs="黑体"/>
          <w:szCs w:val="32"/>
        </w:rPr>
      </w:pPr>
    </w:p>
    <w:p>
      <w:pPr>
        <w:pStyle w:val="2"/>
        <w:spacing w:line="540" w:lineRule="exact"/>
        <w:ind w:firstLine="3300" w:firstLineChars="1100"/>
        <w:rPr>
          <w:rFonts w:ascii="黑体" w:hAnsi="黑体" w:eastAsia="黑体" w:cs="黑体"/>
          <w:b w:val="0"/>
          <w:sz w:val="32"/>
          <w:szCs w:val="32"/>
        </w:rPr>
      </w:pPr>
      <w:r>
        <w:rPr>
          <w:rFonts w:hint="eastAsia" w:ascii="黑体" w:hAnsi="黑体" w:eastAsia="黑体" w:cs="黑体"/>
          <w:b w:val="0"/>
          <w:sz w:val="32"/>
          <w:szCs w:val="32"/>
        </w:rPr>
        <w:t>第六章  法律责任</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第二十四条【</w:t>
      </w:r>
      <w:r>
        <w:rPr>
          <w:rFonts w:hint="eastAsia" w:ascii="黑体" w:hAnsi="黑体" w:eastAsia="黑体"/>
          <w:b/>
        </w:rPr>
        <w:t>曝光联动</w:t>
      </w:r>
      <w:r>
        <w:rPr>
          <w:rFonts w:ascii="黑体" w:hAnsi="黑体" w:eastAsia="黑体"/>
          <w:b/>
        </w:rPr>
        <w:t>】</w:t>
      </w:r>
      <w:r>
        <w:rPr>
          <w:rFonts w:ascii="仿宋_GB2312"/>
          <w:kern w:val="0"/>
          <w:szCs w:val="32"/>
        </w:rPr>
        <w:t>评标专家存在违法违规行为，受到</w:t>
      </w:r>
      <w:r>
        <w:rPr>
          <w:rFonts w:hint="eastAsia" w:ascii="仿宋_GB2312"/>
          <w:kern w:val="0"/>
          <w:szCs w:val="32"/>
        </w:rPr>
        <w:t>暂停</w:t>
      </w:r>
      <w:r>
        <w:rPr>
          <w:rFonts w:ascii="仿宋_GB2312"/>
          <w:kern w:val="0"/>
          <w:szCs w:val="32"/>
        </w:rPr>
        <w:t>评标或者清出评标专家库处理的，市住房城乡建设委在10个工作日内将相关情节和处理情况公开曝光，并向评标专家</w:t>
      </w:r>
      <w:r>
        <w:rPr>
          <w:rFonts w:hint="eastAsia" w:ascii="仿宋_GB2312"/>
          <w:kern w:val="0"/>
          <w:szCs w:val="32"/>
        </w:rPr>
        <w:t>推荐</w:t>
      </w:r>
      <w:r>
        <w:rPr>
          <w:rFonts w:ascii="仿宋_GB2312"/>
          <w:kern w:val="0"/>
          <w:szCs w:val="32"/>
        </w:rPr>
        <w:t>单位通报</w:t>
      </w:r>
      <w:r>
        <w:rPr>
          <w:rFonts w:hint="eastAsia" w:ascii="仿宋_GB2312"/>
          <w:kern w:val="0"/>
          <w:szCs w:val="32"/>
        </w:rPr>
        <w:t>，同时通报</w:t>
      </w:r>
      <w:r>
        <w:rPr>
          <w:rFonts w:ascii="仿宋_GB2312"/>
          <w:kern w:val="0"/>
          <w:szCs w:val="32"/>
        </w:rPr>
        <w:t>本市其他组建有评标专家库的部门。涉嫌构成犯罪的，依法向司法机关移送，追究刑事责任。</w:t>
      </w:r>
    </w:p>
    <w:p>
      <w:pPr>
        <w:widowControl/>
        <w:shd w:val="clear" w:color="auto" w:fill="FFFFFF"/>
        <w:spacing w:line="560" w:lineRule="exact"/>
        <w:ind w:firstLine="600" w:firstLineChars="200"/>
        <w:rPr>
          <w:rFonts w:ascii="仿宋_GB2312"/>
          <w:kern w:val="0"/>
          <w:szCs w:val="32"/>
        </w:rPr>
      </w:pPr>
      <w:r>
        <w:rPr>
          <w:rFonts w:ascii="黑体" w:hAnsi="黑体" w:eastAsia="黑体"/>
          <w:b/>
        </w:rPr>
        <w:t>第</w:t>
      </w:r>
      <w:r>
        <w:rPr>
          <w:rFonts w:hint="eastAsia" w:ascii="黑体" w:hAnsi="黑体" w:eastAsia="黑体"/>
          <w:b/>
        </w:rPr>
        <w:t>二十五</w:t>
      </w:r>
      <w:r>
        <w:rPr>
          <w:rFonts w:ascii="黑体" w:hAnsi="黑体" w:eastAsia="黑体"/>
          <w:b/>
        </w:rPr>
        <w:t>条【监管廉洁责任】</w:t>
      </w:r>
      <w:r>
        <w:rPr>
          <w:rFonts w:hint="eastAsia" w:ascii="仿宋_GB2312"/>
          <w:kern w:val="0"/>
          <w:szCs w:val="32"/>
        </w:rPr>
        <w:t>评</w:t>
      </w:r>
      <w:r>
        <w:rPr>
          <w:rFonts w:ascii="仿宋_GB2312"/>
          <w:kern w:val="0"/>
          <w:szCs w:val="32"/>
        </w:rPr>
        <w:t>标专家管理相关工作人员有失职、渎职、徇私舞弊等行为，故意对外泄露应当保密的信息，不依法履行职责，或者借现场监督不正当干预评标工作的，由有关部门依法给予相应处理；构成犯罪的，依法追究刑事责任。</w:t>
      </w:r>
    </w:p>
    <w:p>
      <w:pPr>
        <w:pStyle w:val="2"/>
        <w:spacing w:line="540" w:lineRule="exact"/>
        <w:ind w:firstLine="3300" w:firstLineChars="1100"/>
        <w:rPr>
          <w:rFonts w:ascii="黑体" w:hAnsi="黑体" w:eastAsia="黑体" w:cs="黑体"/>
          <w:b w:val="0"/>
          <w:sz w:val="32"/>
          <w:szCs w:val="32"/>
        </w:rPr>
      </w:pPr>
      <w:r>
        <w:rPr>
          <w:rFonts w:hint="eastAsia" w:ascii="黑体" w:hAnsi="黑体" w:eastAsia="黑体" w:cs="黑体"/>
          <w:b w:val="0"/>
          <w:sz w:val="32"/>
          <w:szCs w:val="32"/>
        </w:rPr>
        <w:t>第七章   附则</w:t>
      </w:r>
    </w:p>
    <w:p>
      <w:pPr>
        <w:widowControl/>
        <w:shd w:val="clear" w:color="auto" w:fill="FFFFFF"/>
        <w:spacing w:line="560" w:lineRule="exact"/>
        <w:ind w:firstLine="600" w:firstLineChars="200"/>
        <w:rPr>
          <w:rFonts w:ascii="仿宋_GB2312"/>
          <w:kern w:val="0"/>
          <w:szCs w:val="32"/>
        </w:rPr>
      </w:pPr>
      <w:r>
        <w:rPr>
          <w:rFonts w:ascii="黑体" w:hAnsi="黑体" w:eastAsia="黑体"/>
          <w:b/>
        </w:rPr>
        <w:t>第二十六条【有效期规定】</w:t>
      </w:r>
      <w:r>
        <w:rPr>
          <w:rFonts w:ascii="仿宋_GB2312"/>
          <w:kern w:val="0"/>
          <w:szCs w:val="32"/>
        </w:rPr>
        <w:t>本办法自 年 月 日起施行，有效期五年。《天津市建设工程评标专家和评标专家库管理办法》（津建招标〔2015〕431号）同时废止。</w:t>
      </w:r>
    </w:p>
    <w:sectPr>
      <w:headerReference r:id="rId3" w:type="default"/>
      <w:footerReference r:id="rId5" w:type="default"/>
      <w:headerReference r:id="rId4" w:type="even"/>
      <w:footerReference r:id="rId6" w:type="even"/>
      <w:pgSz w:w="11906" w:h="16838"/>
      <w:pgMar w:top="2098" w:right="1588" w:bottom="1985" w:left="1588" w:header="851" w:footer="992" w:gutter="0"/>
      <w:pgNumType w:fmt="numberInDash"/>
      <w:cols w:space="425"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- 2 -</w:t>
    </w:r>
    <w:r>
      <w:rPr>
        <w:rStyle w:val="16"/>
      </w:rPr>
      <w:fldChar w:fldCharType="end"/>
    </w:r>
  </w:p>
  <w:p>
    <w:pPr>
      <w:pStyle w:val="9"/>
      <w:ind w:right="360"/>
      <w:jc w:val="center"/>
      <w:rPr>
        <w:sz w:val="24"/>
        <w:szCs w:val="24"/>
      </w:rPr>
    </w:pPr>
  </w:p>
  <w:p>
    <w:pPr>
      <w:pStyle w:val="9"/>
    </w:pPr>
  </w:p>
  <w:p/>
  <w:p>
    <w:pPr>
      <w:ind w:firstLine="6446"/>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p/>
  <w:p>
    <w:pPr>
      <w:ind w:firstLine="6446"/>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
    <w:pPr>
      <w:ind w:firstLine="6446"/>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
    <w:pPr>
      <w:ind w:firstLine="6446"/>
    </w:pPr>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0NmRiY2MzNTYxNmY3Y2FkOTRmNGVjZTY5YjM4YzQifQ=="/>
  </w:docVars>
  <w:rsids>
    <w:rsidRoot w:val="00720F79"/>
    <w:rsid w:val="000002D1"/>
    <w:rsid w:val="00001FFA"/>
    <w:rsid w:val="00006446"/>
    <w:rsid w:val="00006903"/>
    <w:rsid w:val="0001022F"/>
    <w:rsid w:val="00010AC7"/>
    <w:rsid w:val="000164E0"/>
    <w:rsid w:val="00017828"/>
    <w:rsid w:val="00025346"/>
    <w:rsid w:val="00031DE2"/>
    <w:rsid w:val="000322EE"/>
    <w:rsid w:val="000331FC"/>
    <w:rsid w:val="00033C05"/>
    <w:rsid w:val="00033F62"/>
    <w:rsid w:val="0003409D"/>
    <w:rsid w:val="000364E0"/>
    <w:rsid w:val="000410B8"/>
    <w:rsid w:val="000421F6"/>
    <w:rsid w:val="00042F62"/>
    <w:rsid w:val="00044FED"/>
    <w:rsid w:val="00051D3C"/>
    <w:rsid w:val="000565E8"/>
    <w:rsid w:val="00057269"/>
    <w:rsid w:val="00061D2B"/>
    <w:rsid w:val="00063264"/>
    <w:rsid w:val="00064EC1"/>
    <w:rsid w:val="0006523F"/>
    <w:rsid w:val="00072B39"/>
    <w:rsid w:val="000735FE"/>
    <w:rsid w:val="00074D12"/>
    <w:rsid w:val="00077D27"/>
    <w:rsid w:val="00085122"/>
    <w:rsid w:val="00085484"/>
    <w:rsid w:val="000859FF"/>
    <w:rsid w:val="00085BED"/>
    <w:rsid w:val="0008727C"/>
    <w:rsid w:val="000909E0"/>
    <w:rsid w:val="000940A8"/>
    <w:rsid w:val="000A09E3"/>
    <w:rsid w:val="000A283A"/>
    <w:rsid w:val="000B059B"/>
    <w:rsid w:val="000B0A78"/>
    <w:rsid w:val="000B1FB1"/>
    <w:rsid w:val="000B4BF9"/>
    <w:rsid w:val="000B5654"/>
    <w:rsid w:val="000C2632"/>
    <w:rsid w:val="000C57F1"/>
    <w:rsid w:val="000D08E0"/>
    <w:rsid w:val="000D3202"/>
    <w:rsid w:val="000D3665"/>
    <w:rsid w:val="000D662A"/>
    <w:rsid w:val="000D6EFD"/>
    <w:rsid w:val="000E375A"/>
    <w:rsid w:val="000E402F"/>
    <w:rsid w:val="000F2541"/>
    <w:rsid w:val="000F4DDC"/>
    <w:rsid w:val="000F59C7"/>
    <w:rsid w:val="001010CC"/>
    <w:rsid w:val="00101468"/>
    <w:rsid w:val="001017EF"/>
    <w:rsid w:val="00107C75"/>
    <w:rsid w:val="00110F29"/>
    <w:rsid w:val="00111ECC"/>
    <w:rsid w:val="001154B5"/>
    <w:rsid w:val="00115934"/>
    <w:rsid w:val="00120C63"/>
    <w:rsid w:val="0012208C"/>
    <w:rsid w:val="00122A97"/>
    <w:rsid w:val="00127443"/>
    <w:rsid w:val="00136990"/>
    <w:rsid w:val="00137798"/>
    <w:rsid w:val="001474BA"/>
    <w:rsid w:val="001477FF"/>
    <w:rsid w:val="001536DB"/>
    <w:rsid w:val="00153707"/>
    <w:rsid w:val="00153912"/>
    <w:rsid w:val="001547A5"/>
    <w:rsid w:val="00154C14"/>
    <w:rsid w:val="0015600D"/>
    <w:rsid w:val="001566B6"/>
    <w:rsid w:val="00156BDD"/>
    <w:rsid w:val="00165D5A"/>
    <w:rsid w:val="00171414"/>
    <w:rsid w:val="0017169F"/>
    <w:rsid w:val="00171FF3"/>
    <w:rsid w:val="00175816"/>
    <w:rsid w:val="001763B8"/>
    <w:rsid w:val="0017681E"/>
    <w:rsid w:val="001816CE"/>
    <w:rsid w:val="00187EBE"/>
    <w:rsid w:val="001914A3"/>
    <w:rsid w:val="00194B4D"/>
    <w:rsid w:val="00195C0F"/>
    <w:rsid w:val="00196C75"/>
    <w:rsid w:val="001A1977"/>
    <w:rsid w:val="001A5CFE"/>
    <w:rsid w:val="001A5E30"/>
    <w:rsid w:val="001A712C"/>
    <w:rsid w:val="001B59B4"/>
    <w:rsid w:val="001B78F0"/>
    <w:rsid w:val="001C03A9"/>
    <w:rsid w:val="001C24E4"/>
    <w:rsid w:val="001C5C7C"/>
    <w:rsid w:val="001C7A3B"/>
    <w:rsid w:val="001D00E1"/>
    <w:rsid w:val="001D0DCF"/>
    <w:rsid w:val="001D2BD4"/>
    <w:rsid w:val="001D6D0A"/>
    <w:rsid w:val="001D755A"/>
    <w:rsid w:val="001E0877"/>
    <w:rsid w:val="001E266E"/>
    <w:rsid w:val="001E2E7C"/>
    <w:rsid w:val="001E6D4B"/>
    <w:rsid w:val="001E6F94"/>
    <w:rsid w:val="001F0388"/>
    <w:rsid w:val="001F0877"/>
    <w:rsid w:val="001F4007"/>
    <w:rsid w:val="001F4F0B"/>
    <w:rsid w:val="001F51E8"/>
    <w:rsid w:val="002015AE"/>
    <w:rsid w:val="002035E1"/>
    <w:rsid w:val="0020445A"/>
    <w:rsid w:val="00205F4B"/>
    <w:rsid w:val="00207437"/>
    <w:rsid w:val="00212735"/>
    <w:rsid w:val="00213C9E"/>
    <w:rsid w:val="00214036"/>
    <w:rsid w:val="00214D6F"/>
    <w:rsid w:val="00214FFA"/>
    <w:rsid w:val="00215049"/>
    <w:rsid w:val="00215458"/>
    <w:rsid w:val="00216664"/>
    <w:rsid w:val="0021691D"/>
    <w:rsid w:val="0022004B"/>
    <w:rsid w:val="002214A1"/>
    <w:rsid w:val="00221CBE"/>
    <w:rsid w:val="00222762"/>
    <w:rsid w:val="00223575"/>
    <w:rsid w:val="00226B5B"/>
    <w:rsid w:val="0023219F"/>
    <w:rsid w:val="0024037D"/>
    <w:rsid w:val="0024116F"/>
    <w:rsid w:val="00244252"/>
    <w:rsid w:val="00247A5B"/>
    <w:rsid w:val="00251A2E"/>
    <w:rsid w:val="002539D4"/>
    <w:rsid w:val="00260980"/>
    <w:rsid w:val="00261D35"/>
    <w:rsid w:val="0026382B"/>
    <w:rsid w:val="00265674"/>
    <w:rsid w:val="002722D5"/>
    <w:rsid w:val="002767DC"/>
    <w:rsid w:val="00277CA6"/>
    <w:rsid w:val="00280CBA"/>
    <w:rsid w:val="00280E99"/>
    <w:rsid w:val="002840E8"/>
    <w:rsid w:val="00292776"/>
    <w:rsid w:val="00293B22"/>
    <w:rsid w:val="00295134"/>
    <w:rsid w:val="00297370"/>
    <w:rsid w:val="002A4793"/>
    <w:rsid w:val="002A73AB"/>
    <w:rsid w:val="002B2F28"/>
    <w:rsid w:val="002B508A"/>
    <w:rsid w:val="002B50BC"/>
    <w:rsid w:val="002B5EC5"/>
    <w:rsid w:val="002B6F4B"/>
    <w:rsid w:val="002C60E9"/>
    <w:rsid w:val="002C6806"/>
    <w:rsid w:val="002D1920"/>
    <w:rsid w:val="002D3261"/>
    <w:rsid w:val="002D3856"/>
    <w:rsid w:val="002D3953"/>
    <w:rsid w:val="002D5F08"/>
    <w:rsid w:val="002D6534"/>
    <w:rsid w:val="002D7BCE"/>
    <w:rsid w:val="002E2BB3"/>
    <w:rsid w:val="002E44E5"/>
    <w:rsid w:val="002E5B25"/>
    <w:rsid w:val="002E6926"/>
    <w:rsid w:val="002F2341"/>
    <w:rsid w:val="002F2749"/>
    <w:rsid w:val="002F2F5E"/>
    <w:rsid w:val="00302172"/>
    <w:rsid w:val="00307477"/>
    <w:rsid w:val="003079EC"/>
    <w:rsid w:val="00314C88"/>
    <w:rsid w:val="00316A17"/>
    <w:rsid w:val="00322793"/>
    <w:rsid w:val="00325033"/>
    <w:rsid w:val="0033029D"/>
    <w:rsid w:val="0033166F"/>
    <w:rsid w:val="00331F6D"/>
    <w:rsid w:val="00332FE6"/>
    <w:rsid w:val="003343C7"/>
    <w:rsid w:val="003351AE"/>
    <w:rsid w:val="00336D8E"/>
    <w:rsid w:val="00344D99"/>
    <w:rsid w:val="003456BD"/>
    <w:rsid w:val="00345CDD"/>
    <w:rsid w:val="003501C8"/>
    <w:rsid w:val="0035175C"/>
    <w:rsid w:val="00351F36"/>
    <w:rsid w:val="003520BD"/>
    <w:rsid w:val="00352BBD"/>
    <w:rsid w:val="00355756"/>
    <w:rsid w:val="00356950"/>
    <w:rsid w:val="003570DD"/>
    <w:rsid w:val="00363592"/>
    <w:rsid w:val="00364D3D"/>
    <w:rsid w:val="00367F5E"/>
    <w:rsid w:val="00370A56"/>
    <w:rsid w:val="0037404F"/>
    <w:rsid w:val="00375D30"/>
    <w:rsid w:val="00375DBC"/>
    <w:rsid w:val="003809F3"/>
    <w:rsid w:val="00380C7F"/>
    <w:rsid w:val="00382DE2"/>
    <w:rsid w:val="0038629B"/>
    <w:rsid w:val="00392502"/>
    <w:rsid w:val="00392661"/>
    <w:rsid w:val="00393103"/>
    <w:rsid w:val="003931DA"/>
    <w:rsid w:val="00397184"/>
    <w:rsid w:val="003A0C14"/>
    <w:rsid w:val="003A1FA0"/>
    <w:rsid w:val="003A3851"/>
    <w:rsid w:val="003A408C"/>
    <w:rsid w:val="003A4460"/>
    <w:rsid w:val="003A49E8"/>
    <w:rsid w:val="003B0AE6"/>
    <w:rsid w:val="003B48C7"/>
    <w:rsid w:val="003B55A7"/>
    <w:rsid w:val="003B6B66"/>
    <w:rsid w:val="003B6BFB"/>
    <w:rsid w:val="003C0F4A"/>
    <w:rsid w:val="003C1EA2"/>
    <w:rsid w:val="003C4FCA"/>
    <w:rsid w:val="003C549E"/>
    <w:rsid w:val="003C7D88"/>
    <w:rsid w:val="003D06AF"/>
    <w:rsid w:val="003D3306"/>
    <w:rsid w:val="003D363D"/>
    <w:rsid w:val="003D56B5"/>
    <w:rsid w:val="003D7675"/>
    <w:rsid w:val="003E59FE"/>
    <w:rsid w:val="003E762D"/>
    <w:rsid w:val="003F067F"/>
    <w:rsid w:val="003F55BA"/>
    <w:rsid w:val="003F5E6E"/>
    <w:rsid w:val="00402C31"/>
    <w:rsid w:val="004055B1"/>
    <w:rsid w:val="00411CED"/>
    <w:rsid w:val="004149F4"/>
    <w:rsid w:val="004174E8"/>
    <w:rsid w:val="00422A4C"/>
    <w:rsid w:val="004248B9"/>
    <w:rsid w:val="00425EB8"/>
    <w:rsid w:val="00427071"/>
    <w:rsid w:val="0043076F"/>
    <w:rsid w:val="00432715"/>
    <w:rsid w:val="00432B1C"/>
    <w:rsid w:val="004348EA"/>
    <w:rsid w:val="00436C0D"/>
    <w:rsid w:val="00441201"/>
    <w:rsid w:val="004463AC"/>
    <w:rsid w:val="00446751"/>
    <w:rsid w:val="004513F1"/>
    <w:rsid w:val="00451CEE"/>
    <w:rsid w:val="00456743"/>
    <w:rsid w:val="00456CF9"/>
    <w:rsid w:val="004615B7"/>
    <w:rsid w:val="004619F3"/>
    <w:rsid w:val="00462C38"/>
    <w:rsid w:val="00466AD5"/>
    <w:rsid w:val="00474B35"/>
    <w:rsid w:val="00480FB3"/>
    <w:rsid w:val="00482F10"/>
    <w:rsid w:val="00491388"/>
    <w:rsid w:val="00491F23"/>
    <w:rsid w:val="004A04A0"/>
    <w:rsid w:val="004A06FE"/>
    <w:rsid w:val="004A1BA6"/>
    <w:rsid w:val="004A5261"/>
    <w:rsid w:val="004A5EB7"/>
    <w:rsid w:val="004A5F71"/>
    <w:rsid w:val="004A6ED8"/>
    <w:rsid w:val="004B061E"/>
    <w:rsid w:val="004B0A4E"/>
    <w:rsid w:val="004B1454"/>
    <w:rsid w:val="004B15C7"/>
    <w:rsid w:val="004B696A"/>
    <w:rsid w:val="004C1CD3"/>
    <w:rsid w:val="004C4AD5"/>
    <w:rsid w:val="004D2BED"/>
    <w:rsid w:val="004D3152"/>
    <w:rsid w:val="004D4EE8"/>
    <w:rsid w:val="004D588E"/>
    <w:rsid w:val="004D6B0E"/>
    <w:rsid w:val="004E1878"/>
    <w:rsid w:val="004E1DDA"/>
    <w:rsid w:val="004E219A"/>
    <w:rsid w:val="004E2E4A"/>
    <w:rsid w:val="004E615D"/>
    <w:rsid w:val="004E644E"/>
    <w:rsid w:val="004F0F45"/>
    <w:rsid w:val="004F25E4"/>
    <w:rsid w:val="004F5995"/>
    <w:rsid w:val="005046A3"/>
    <w:rsid w:val="00505ECE"/>
    <w:rsid w:val="005110B0"/>
    <w:rsid w:val="00511D86"/>
    <w:rsid w:val="0051426D"/>
    <w:rsid w:val="0051651F"/>
    <w:rsid w:val="00522DFA"/>
    <w:rsid w:val="0052505A"/>
    <w:rsid w:val="00525D8B"/>
    <w:rsid w:val="00527E4E"/>
    <w:rsid w:val="00536C82"/>
    <w:rsid w:val="005406DF"/>
    <w:rsid w:val="00543007"/>
    <w:rsid w:val="005471AB"/>
    <w:rsid w:val="0055498A"/>
    <w:rsid w:val="0057656E"/>
    <w:rsid w:val="00577701"/>
    <w:rsid w:val="0058076D"/>
    <w:rsid w:val="00581729"/>
    <w:rsid w:val="00581C29"/>
    <w:rsid w:val="005856DD"/>
    <w:rsid w:val="0058759A"/>
    <w:rsid w:val="00592E08"/>
    <w:rsid w:val="005A5499"/>
    <w:rsid w:val="005A722E"/>
    <w:rsid w:val="005B2BE7"/>
    <w:rsid w:val="005B41AB"/>
    <w:rsid w:val="005B52F5"/>
    <w:rsid w:val="005B53E9"/>
    <w:rsid w:val="005C0A2D"/>
    <w:rsid w:val="005C48BD"/>
    <w:rsid w:val="005C55E9"/>
    <w:rsid w:val="005C7330"/>
    <w:rsid w:val="005C785D"/>
    <w:rsid w:val="005D1317"/>
    <w:rsid w:val="005D210E"/>
    <w:rsid w:val="005E00C6"/>
    <w:rsid w:val="005E22E5"/>
    <w:rsid w:val="005E38DF"/>
    <w:rsid w:val="005E452A"/>
    <w:rsid w:val="005E457A"/>
    <w:rsid w:val="005E4BAF"/>
    <w:rsid w:val="005E6AC5"/>
    <w:rsid w:val="005F49C4"/>
    <w:rsid w:val="005F57C2"/>
    <w:rsid w:val="00601656"/>
    <w:rsid w:val="00602307"/>
    <w:rsid w:val="0060392B"/>
    <w:rsid w:val="0060639A"/>
    <w:rsid w:val="00610416"/>
    <w:rsid w:val="00620205"/>
    <w:rsid w:val="00620272"/>
    <w:rsid w:val="00623308"/>
    <w:rsid w:val="00626C33"/>
    <w:rsid w:val="00626F45"/>
    <w:rsid w:val="00630601"/>
    <w:rsid w:val="00630F63"/>
    <w:rsid w:val="006321AA"/>
    <w:rsid w:val="006335AC"/>
    <w:rsid w:val="00635567"/>
    <w:rsid w:val="006374F3"/>
    <w:rsid w:val="00637AC7"/>
    <w:rsid w:val="00637D13"/>
    <w:rsid w:val="0064082D"/>
    <w:rsid w:val="00646B13"/>
    <w:rsid w:val="00647B6C"/>
    <w:rsid w:val="006508EF"/>
    <w:rsid w:val="00660A86"/>
    <w:rsid w:val="00663398"/>
    <w:rsid w:val="006727C0"/>
    <w:rsid w:val="00675989"/>
    <w:rsid w:val="00677569"/>
    <w:rsid w:val="0068094B"/>
    <w:rsid w:val="006854A1"/>
    <w:rsid w:val="00690A1D"/>
    <w:rsid w:val="006933A8"/>
    <w:rsid w:val="00697D69"/>
    <w:rsid w:val="006A0BD3"/>
    <w:rsid w:val="006A2D25"/>
    <w:rsid w:val="006B0635"/>
    <w:rsid w:val="006B2C0B"/>
    <w:rsid w:val="006B485C"/>
    <w:rsid w:val="006B4E3D"/>
    <w:rsid w:val="006B78E5"/>
    <w:rsid w:val="006B7925"/>
    <w:rsid w:val="006C03B8"/>
    <w:rsid w:val="006C7AE4"/>
    <w:rsid w:val="006C7D1A"/>
    <w:rsid w:val="006D19D5"/>
    <w:rsid w:val="006D4758"/>
    <w:rsid w:val="006D4FD5"/>
    <w:rsid w:val="006D56C9"/>
    <w:rsid w:val="006E193E"/>
    <w:rsid w:val="006E214A"/>
    <w:rsid w:val="006E304F"/>
    <w:rsid w:val="006F0B4B"/>
    <w:rsid w:val="006F10AF"/>
    <w:rsid w:val="006F113C"/>
    <w:rsid w:val="006F38C8"/>
    <w:rsid w:val="006F55B2"/>
    <w:rsid w:val="007015A7"/>
    <w:rsid w:val="00702C15"/>
    <w:rsid w:val="00703AA8"/>
    <w:rsid w:val="00704FE2"/>
    <w:rsid w:val="0071044D"/>
    <w:rsid w:val="007204F8"/>
    <w:rsid w:val="00720F79"/>
    <w:rsid w:val="00721F9A"/>
    <w:rsid w:val="00731EE8"/>
    <w:rsid w:val="00741828"/>
    <w:rsid w:val="00743E03"/>
    <w:rsid w:val="007466DF"/>
    <w:rsid w:val="00752729"/>
    <w:rsid w:val="007531EE"/>
    <w:rsid w:val="00753E1F"/>
    <w:rsid w:val="00756173"/>
    <w:rsid w:val="0076585D"/>
    <w:rsid w:val="00767590"/>
    <w:rsid w:val="00773DB6"/>
    <w:rsid w:val="00774AF6"/>
    <w:rsid w:val="00782344"/>
    <w:rsid w:val="00783168"/>
    <w:rsid w:val="00784060"/>
    <w:rsid w:val="0078617B"/>
    <w:rsid w:val="00790887"/>
    <w:rsid w:val="00792E56"/>
    <w:rsid w:val="00797C67"/>
    <w:rsid w:val="007A0152"/>
    <w:rsid w:val="007A1982"/>
    <w:rsid w:val="007A2DE0"/>
    <w:rsid w:val="007A41FD"/>
    <w:rsid w:val="007A448B"/>
    <w:rsid w:val="007A45CA"/>
    <w:rsid w:val="007A5A0C"/>
    <w:rsid w:val="007A6A39"/>
    <w:rsid w:val="007A70AD"/>
    <w:rsid w:val="007B3126"/>
    <w:rsid w:val="007B3FD3"/>
    <w:rsid w:val="007B4801"/>
    <w:rsid w:val="007C0917"/>
    <w:rsid w:val="007C14C0"/>
    <w:rsid w:val="007C74FB"/>
    <w:rsid w:val="007C7DDD"/>
    <w:rsid w:val="007D49C8"/>
    <w:rsid w:val="007D552D"/>
    <w:rsid w:val="007D66E6"/>
    <w:rsid w:val="007E25DA"/>
    <w:rsid w:val="007E66F9"/>
    <w:rsid w:val="007F2C9C"/>
    <w:rsid w:val="007F2DD3"/>
    <w:rsid w:val="00800970"/>
    <w:rsid w:val="00801F9A"/>
    <w:rsid w:val="00805052"/>
    <w:rsid w:val="00805655"/>
    <w:rsid w:val="008101C7"/>
    <w:rsid w:val="00813263"/>
    <w:rsid w:val="00813654"/>
    <w:rsid w:val="008149DA"/>
    <w:rsid w:val="00816657"/>
    <w:rsid w:val="00820EA7"/>
    <w:rsid w:val="008259D5"/>
    <w:rsid w:val="00826763"/>
    <w:rsid w:val="0083162F"/>
    <w:rsid w:val="0083184F"/>
    <w:rsid w:val="00831D1F"/>
    <w:rsid w:val="00832A39"/>
    <w:rsid w:val="00833BC6"/>
    <w:rsid w:val="008341CB"/>
    <w:rsid w:val="00836FBC"/>
    <w:rsid w:val="00837C73"/>
    <w:rsid w:val="00837E04"/>
    <w:rsid w:val="00841140"/>
    <w:rsid w:val="0084289C"/>
    <w:rsid w:val="008439AC"/>
    <w:rsid w:val="008449C4"/>
    <w:rsid w:val="00847DB3"/>
    <w:rsid w:val="008519F8"/>
    <w:rsid w:val="00852F22"/>
    <w:rsid w:val="00855565"/>
    <w:rsid w:val="0086345C"/>
    <w:rsid w:val="008674DB"/>
    <w:rsid w:val="00867B13"/>
    <w:rsid w:val="008717E8"/>
    <w:rsid w:val="0087271E"/>
    <w:rsid w:val="0087578E"/>
    <w:rsid w:val="00875FAC"/>
    <w:rsid w:val="00876118"/>
    <w:rsid w:val="008804A4"/>
    <w:rsid w:val="0088182A"/>
    <w:rsid w:val="00883CCE"/>
    <w:rsid w:val="00884C95"/>
    <w:rsid w:val="00892950"/>
    <w:rsid w:val="008A02BD"/>
    <w:rsid w:val="008A2C18"/>
    <w:rsid w:val="008A2E19"/>
    <w:rsid w:val="008A2F35"/>
    <w:rsid w:val="008A6A14"/>
    <w:rsid w:val="008A6C35"/>
    <w:rsid w:val="008B5D25"/>
    <w:rsid w:val="008C70B7"/>
    <w:rsid w:val="008C7379"/>
    <w:rsid w:val="008D0C0F"/>
    <w:rsid w:val="008D3307"/>
    <w:rsid w:val="008E0447"/>
    <w:rsid w:val="008E084C"/>
    <w:rsid w:val="008E3EE5"/>
    <w:rsid w:val="008E4AA0"/>
    <w:rsid w:val="008E4D39"/>
    <w:rsid w:val="008E50F1"/>
    <w:rsid w:val="008E6315"/>
    <w:rsid w:val="008F14C1"/>
    <w:rsid w:val="008F253C"/>
    <w:rsid w:val="008F2801"/>
    <w:rsid w:val="008F3E9D"/>
    <w:rsid w:val="008F4537"/>
    <w:rsid w:val="008F5553"/>
    <w:rsid w:val="008F55EB"/>
    <w:rsid w:val="008F6A5E"/>
    <w:rsid w:val="009028CA"/>
    <w:rsid w:val="0090766F"/>
    <w:rsid w:val="0091465B"/>
    <w:rsid w:val="00915CD7"/>
    <w:rsid w:val="00916244"/>
    <w:rsid w:val="00920D9B"/>
    <w:rsid w:val="00925F0D"/>
    <w:rsid w:val="00927793"/>
    <w:rsid w:val="0093131D"/>
    <w:rsid w:val="0093283F"/>
    <w:rsid w:val="00942E51"/>
    <w:rsid w:val="00943694"/>
    <w:rsid w:val="00944BA8"/>
    <w:rsid w:val="00945B68"/>
    <w:rsid w:val="00952BD8"/>
    <w:rsid w:val="00955D6D"/>
    <w:rsid w:val="009606D3"/>
    <w:rsid w:val="00963092"/>
    <w:rsid w:val="00966360"/>
    <w:rsid w:val="00967932"/>
    <w:rsid w:val="00971190"/>
    <w:rsid w:val="0097166E"/>
    <w:rsid w:val="00975C61"/>
    <w:rsid w:val="0098537D"/>
    <w:rsid w:val="009876BD"/>
    <w:rsid w:val="00987D0C"/>
    <w:rsid w:val="00994F82"/>
    <w:rsid w:val="00995674"/>
    <w:rsid w:val="0099726E"/>
    <w:rsid w:val="009A1197"/>
    <w:rsid w:val="009A410B"/>
    <w:rsid w:val="009A46A6"/>
    <w:rsid w:val="009A4DCF"/>
    <w:rsid w:val="009C2263"/>
    <w:rsid w:val="009C49C0"/>
    <w:rsid w:val="009D09EF"/>
    <w:rsid w:val="009D635D"/>
    <w:rsid w:val="009D7D44"/>
    <w:rsid w:val="009E628B"/>
    <w:rsid w:val="009F09EA"/>
    <w:rsid w:val="009F0DAC"/>
    <w:rsid w:val="009F118D"/>
    <w:rsid w:val="009F42D4"/>
    <w:rsid w:val="009F5B32"/>
    <w:rsid w:val="009F6ED5"/>
    <w:rsid w:val="00A05F28"/>
    <w:rsid w:val="00A0687F"/>
    <w:rsid w:val="00A2300F"/>
    <w:rsid w:val="00A260B2"/>
    <w:rsid w:val="00A27788"/>
    <w:rsid w:val="00A30258"/>
    <w:rsid w:val="00A30B64"/>
    <w:rsid w:val="00A313B1"/>
    <w:rsid w:val="00A337C6"/>
    <w:rsid w:val="00A33C24"/>
    <w:rsid w:val="00A3526B"/>
    <w:rsid w:val="00A360AA"/>
    <w:rsid w:val="00A438BC"/>
    <w:rsid w:val="00A4524C"/>
    <w:rsid w:val="00A453D8"/>
    <w:rsid w:val="00A526C1"/>
    <w:rsid w:val="00A52B89"/>
    <w:rsid w:val="00A53377"/>
    <w:rsid w:val="00A56B7F"/>
    <w:rsid w:val="00A63E81"/>
    <w:rsid w:val="00A67F9A"/>
    <w:rsid w:val="00A73D28"/>
    <w:rsid w:val="00A75584"/>
    <w:rsid w:val="00A757DF"/>
    <w:rsid w:val="00A918C7"/>
    <w:rsid w:val="00A92818"/>
    <w:rsid w:val="00A92A4E"/>
    <w:rsid w:val="00A9421B"/>
    <w:rsid w:val="00A94F18"/>
    <w:rsid w:val="00A97322"/>
    <w:rsid w:val="00AA0122"/>
    <w:rsid w:val="00AA6FE8"/>
    <w:rsid w:val="00AB0964"/>
    <w:rsid w:val="00AB4AB7"/>
    <w:rsid w:val="00AC3683"/>
    <w:rsid w:val="00AC4DD0"/>
    <w:rsid w:val="00AD2E55"/>
    <w:rsid w:val="00AD40AB"/>
    <w:rsid w:val="00AD6993"/>
    <w:rsid w:val="00AE4F2D"/>
    <w:rsid w:val="00AE60F9"/>
    <w:rsid w:val="00AE7BD5"/>
    <w:rsid w:val="00B004D0"/>
    <w:rsid w:val="00B019B3"/>
    <w:rsid w:val="00B023A0"/>
    <w:rsid w:val="00B05225"/>
    <w:rsid w:val="00B058C9"/>
    <w:rsid w:val="00B075A2"/>
    <w:rsid w:val="00B134D7"/>
    <w:rsid w:val="00B1590D"/>
    <w:rsid w:val="00B20A2D"/>
    <w:rsid w:val="00B214B9"/>
    <w:rsid w:val="00B21515"/>
    <w:rsid w:val="00B234FE"/>
    <w:rsid w:val="00B27B50"/>
    <w:rsid w:val="00B30DE3"/>
    <w:rsid w:val="00B352EC"/>
    <w:rsid w:val="00B4272A"/>
    <w:rsid w:val="00B44D03"/>
    <w:rsid w:val="00B5102E"/>
    <w:rsid w:val="00B51841"/>
    <w:rsid w:val="00B521C1"/>
    <w:rsid w:val="00B525A7"/>
    <w:rsid w:val="00B61E0C"/>
    <w:rsid w:val="00B64B4C"/>
    <w:rsid w:val="00B65C1D"/>
    <w:rsid w:val="00B66EC4"/>
    <w:rsid w:val="00B67CAF"/>
    <w:rsid w:val="00B71851"/>
    <w:rsid w:val="00B71C7D"/>
    <w:rsid w:val="00B80230"/>
    <w:rsid w:val="00B81620"/>
    <w:rsid w:val="00B82720"/>
    <w:rsid w:val="00B82882"/>
    <w:rsid w:val="00B84D1A"/>
    <w:rsid w:val="00B90494"/>
    <w:rsid w:val="00B94055"/>
    <w:rsid w:val="00B96F68"/>
    <w:rsid w:val="00B97909"/>
    <w:rsid w:val="00BA1B46"/>
    <w:rsid w:val="00BA44A8"/>
    <w:rsid w:val="00BA4707"/>
    <w:rsid w:val="00BB349D"/>
    <w:rsid w:val="00BC00C1"/>
    <w:rsid w:val="00BC1061"/>
    <w:rsid w:val="00BC3396"/>
    <w:rsid w:val="00BC4DC2"/>
    <w:rsid w:val="00BC4FE0"/>
    <w:rsid w:val="00BE30B4"/>
    <w:rsid w:val="00BE4F6B"/>
    <w:rsid w:val="00BE5F2D"/>
    <w:rsid w:val="00BE62F3"/>
    <w:rsid w:val="00BF17E3"/>
    <w:rsid w:val="00BF23C3"/>
    <w:rsid w:val="00BF276B"/>
    <w:rsid w:val="00BF4502"/>
    <w:rsid w:val="00BF58A5"/>
    <w:rsid w:val="00C00522"/>
    <w:rsid w:val="00C00EAA"/>
    <w:rsid w:val="00C025E2"/>
    <w:rsid w:val="00C07C47"/>
    <w:rsid w:val="00C12019"/>
    <w:rsid w:val="00C12C51"/>
    <w:rsid w:val="00C12C85"/>
    <w:rsid w:val="00C154E6"/>
    <w:rsid w:val="00C15DE3"/>
    <w:rsid w:val="00C16B55"/>
    <w:rsid w:val="00C203B7"/>
    <w:rsid w:val="00C208E2"/>
    <w:rsid w:val="00C216C5"/>
    <w:rsid w:val="00C259EF"/>
    <w:rsid w:val="00C2760D"/>
    <w:rsid w:val="00C3001A"/>
    <w:rsid w:val="00C317E1"/>
    <w:rsid w:val="00C3288C"/>
    <w:rsid w:val="00C35A24"/>
    <w:rsid w:val="00C448F4"/>
    <w:rsid w:val="00C50BC4"/>
    <w:rsid w:val="00C52103"/>
    <w:rsid w:val="00C61684"/>
    <w:rsid w:val="00C617BB"/>
    <w:rsid w:val="00C62F74"/>
    <w:rsid w:val="00C65F0A"/>
    <w:rsid w:val="00C70D73"/>
    <w:rsid w:val="00C73338"/>
    <w:rsid w:val="00C736B0"/>
    <w:rsid w:val="00C74B7B"/>
    <w:rsid w:val="00C777C9"/>
    <w:rsid w:val="00C77B9D"/>
    <w:rsid w:val="00C80339"/>
    <w:rsid w:val="00C81A5B"/>
    <w:rsid w:val="00C8438E"/>
    <w:rsid w:val="00C85DC3"/>
    <w:rsid w:val="00C87926"/>
    <w:rsid w:val="00C9197A"/>
    <w:rsid w:val="00C92993"/>
    <w:rsid w:val="00C92D99"/>
    <w:rsid w:val="00C940B5"/>
    <w:rsid w:val="00CA1098"/>
    <w:rsid w:val="00CA4770"/>
    <w:rsid w:val="00CA6BF8"/>
    <w:rsid w:val="00CB0882"/>
    <w:rsid w:val="00CB26E9"/>
    <w:rsid w:val="00CB2C8B"/>
    <w:rsid w:val="00CB6D9A"/>
    <w:rsid w:val="00CB6E8E"/>
    <w:rsid w:val="00CB7EED"/>
    <w:rsid w:val="00CC0BFC"/>
    <w:rsid w:val="00CC3077"/>
    <w:rsid w:val="00CC35A3"/>
    <w:rsid w:val="00CC3F5D"/>
    <w:rsid w:val="00CC4E33"/>
    <w:rsid w:val="00CC5400"/>
    <w:rsid w:val="00CD00E9"/>
    <w:rsid w:val="00CD0210"/>
    <w:rsid w:val="00CD066A"/>
    <w:rsid w:val="00CD454D"/>
    <w:rsid w:val="00CD5F22"/>
    <w:rsid w:val="00CD7E9F"/>
    <w:rsid w:val="00CE2022"/>
    <w:rsid w:val="00CE43C1"/>
    <w:rsid w:val="00CF416C"/>
    <w:rsid w:val="00CF495B"/>
    <w:rsid w:val="00D0192A"/>
    <w:rsid w:val="00D02405"/>
    <w:rsid w:val="00D02426"/>
    <w:rsid w:val="00D02916"/>
    <w:rsid w:val="00D06515"/>
    <w:rsid w:val="00D114AC"/>
    <w:rsid w:val="00D13A51"/>
    <w:rsid w:val="00D13B8E"/>
    <w:rsid w:val="00D24273"/>
    <w:rsid w:val="00D246F4"/>
    <w:rsid w:val="00D2690B"/>
    <w:rsid w:val="00D26B3A"/>
    <w:rsid w:val="00D30CE6"/>
    <w:rsid w:val="00D30FDB"/>
    <w:rsid w:val="00D3405B"/>
    <w:rsid w:val="00D50327"/>
    <w:rsid w:val="00D5096F"/>
    <w:rsid w:val="00D51C19"/>
    <w:rsid w:val="00D5472D"/>
    <w:rsid w:val="00D55D00"/>
    <w:rsid w:val="00D64973"/>
    <w:rsid w:val="00D65A13"/>
    <w:rsid w:val="00D65B82"/>
    <w:rsid w:val="00D67039"/>
    <w:rsid w:val="00D7322D"/>
    <w:rsid w:val="00D73E20"/>
    <w:rsid w:val="00D771EB"/>
    <w:rsid w:val="00D80E91"/>
    <w:rsid w:val="00D822DD"/>
    <w:rsid w:val="00D840DE"/>
    <w:rsid w:val="00D84B68"/>
    <w:rsid w:val="00D90476"/>
    <w:rsid w:val="00D9053D"/>
    <w:rsid w:val="00DA1E96"/>
    <w:rsid w:val="00DA3152"/>
    <w:rsid w:val="00DA3BE0"/>
    <w:rsid w:val="00DA6368"/>
    <w:rsid w:val="00DB0E91"/>
    <w:rsid w:val="00DB1A00"/>
    <w:rsid w:val="00DB3A4B"/>
    <w:rsid w:val="00DC04E7"/>
    <w:rsid w:val="00DC073F"/>
    <w:rsid w:val="00DC21CB"/>
    <w:rsid w:val="00DC2B33"/>
    <w:rsid w:val="00DC6D53"/>
    <w:rsid w:val="00DC7018"/>
    <w:rsid w:val="00DC7143"/>
    <w:rsid w:val="00DC7264"/>
    <w:rsid w:val="00DC771A"/>
    <w:rsid w:val="00DD1E35"/>
    <w:rsid w:val="00DE29AC"/>
    <w:rsid w:val="00DE3BED"/>
    <w:rsid w:val="00DE3E83"/>
    <w:rsid w:val="00DF23F7"/>
    <w:rsid w:val="00DF40B4"/>
    <w:rsid w:val="00DF4B62"/>
    <w:rsid w:val="00DF5A64"/>
    <w:rsid w:val="00E002A9"/>
    <w:rsid w:val="00E0066C"/>
    <w:rsid w:val="00E024B2"/>
    <w:rsid w:val="00E0370D"/>
    <w:rsid w:val="00E0621E"/>
    <w:rsid w:val="00E1128A"/>
    <w:rsid w:val="00E12C22"/>
    <w:rsid w:val="00E13F6E"/>
    <w:rsid w:val="00E151D4"/>
    <w:rsid w:val="00E20143"/>
    <w:rsid w:val="00E2432D"/>
    <w:rsid w:val="00E26269"/>
    <w:rsid w:val="00E3012E"/>
    <w:rsid w:val="00E31DF4"/>
    <w:rsid w:val="00E324E2"/>
    <w:rsid w:val="00E36689"/>
    <w:rsid w:val="00E423CF"/>
    <w:rsid w:val="00E44B74"/>
    <w:rsid w:val="00E44E2E"/>
    <w:rsid w:val="00E528EF"/>
    <w:rsid w:val="00E54957"/>
    <w:rsid w:val="00E564CA"/>
    <w:rsid w:val="00E56918"/>
    <w:rsid w:val="00E57ACC"/>
    <w:rsid w:val="00E57BEE"/>
    <w:rsid w:val="00E57CB5"/>
    <w:rsid w:val="00E603E1"/>
    <w:rsid w:val="00E63897"/>
    <w:rsid w:val="00E643A9"/>
    <w:rsid w:val="00E6442F"/>
    <w:rsid w:val="00E73AD8"/>
    <w:rsid w:val="00E75C14"/>
    <w:rsid w:val="00E77589"/>
    <w:rsid w:val="00E77B47"/>
    <w:rsid w:val="00E904EF"/>
    <w:rsid w:val="00E9144B"/>
    <w:rsid w:val="00E928ED"/>
    <w:rsid w:val="00E9437F"/>
    <w:rsid w:val="00E96D31"/>
    <w:rsid w:val="00E972BF"/>
    <w:rsid w:val="00EA046C"/>
    <w:rsid w:val="00EA1DC1"/>
    <w:rsid w:val="00EA2699"/>
    <w:rsid w:val="00EA2B05"/>
    <w:rsid w:val="00EB0CE1"/>
    <w:rsid w:val="00EB1037"/>
    <w:rsid w:val="00EB1237"/>
    <w:rsid w:val="00EB1BFA"/>
    <w:rsid w:val="00EB20F2"/>
    <w:rsid w:val="00EB469A"/>
    <w:rsid w:val="00EB5510"/>
    <w:rsid w:val="00EC4711"/>
    <w:rsid w:val="00EC55D3"/>
    <w:rsid w:val="00ED0846"/>
    <w:rsid w:val="00ED4316"/>
    <w:rsid w:val="00ED431E"/>
    <w:rsid w:val="00ED605F"/>
    <w:rsid w:val="00EE5413"/>
    <w:rsid w:val="00EE72A0"/>
    <w:rsid w:val="00EE7EB3"/>
    <w:rsid w:val="00EF021A"/>
    <w:rsid w:val="00EF12D3"/>
    <w:rsid w:val="00EF2DE5"/>
    <w:rsid w:val="00EF2F5B"/>
    <w:rsid w:val="00EF3DCF"/>
    <w:rsid w:val="00EF6C1A"/>
    <w:rsid w:val="00F053D1"/>
    <w:rsid w:val="00F1529E"/>
    <w:rsid w:val="00F17C2F"/>
    <w:rsid w:val="00F221A2"/>
    <w:rsid w:val="00F22360"/>
    <w:rsid w:val="00F24B7C"/>
    <w:rsid w:val="00F30DF3"/>
    <w:rsid w:val="00F31DB7"/>
    <w:rsid w:val="00F31EFB"/>
    <w:rsid w:val="00F4048A"/>
    <w:rsid w:val="00F41AC8"/>
    <w:rsid w:val="00F42651"/>
    <w:rsid w:val="00F4340A"/>
    <w:rsid w:val="00F4534E"/>
    <w:rsid w:val="00F45978"/>
    <w:rsid w:val="00F5076B"/>
    <w:rsid w:val="00F50A6E"/>
    <w:rsid w:val="00F53D2A"/>
    <w:rsid w:val="00F61FE7"/>
    <w:rsid w:val="00F622AA"/>
    <w:rsid w:val="00F674B5"/>
    <w:rsid w:val="00F73068"/>
    <w:rsid w:val="00F81D1F"/>
    <w:rsid w:val="00F829E8"/>
    <w:rsid w:val="00F86BA3"/>
    <w:rsid w:val="00F86EF8"/>
    <w:rsid w:val="00F872B8"/>
    <w:rsid w:val="00F901A3"/>
    <w:rsid w:val="00F93458"/>
    <w:rsid w:val="00F94C75"/>
    <w:rsid w:val="00F97266"/>
    <w:rsid w:val="00FA1307"/>
    <w:rsid w:val="00FA58F1"/>
    <w:rsid w:val="00FA7D8E"/>
    <w:rsid w:val="00FB17C5"/>
    <w:rsid w:val="00FB344F"/>
    <w:rsid w:val="00FB40B7"/>
    <w:rsid w:val="00FC0CD0"/>
    <w:rsid w:val="00FC10E7"/>
    <w:rsid w:val="00FC1266"/>
    <w:rsid w:val="00FC630C"/>
    <w:rsid w:val="00FC669D"/>
    <w:rsid w:val="00FD1598"/>
    <w:rsid w:val="00FD3B16"/>
    <w:rsid w:val="00FD50D1"/>
    <w:rsid w:val="00FD620C"/>
    <w:rsid w:val="00FD7982"/>
    <w:rsid w:val="00FE09C6"/>
    <w:rsid w:val="00FE4B5C"/>
    <w:rsid w:val="00FE62AA"/>
    <w:rsid w:val="00FF0DFC"/>
    <w:rsid w:val="125260E8"/>
    <w:rsid w:val="12A77D23"/>
    <w:rsid w:val="1EFA1A43"/>
    <w:rsid w:val="38956972"/>
    <w:rsid w:val="38FA1B1C"/>
    <w:rsid w:val="490F53F7"/>
    <w:rsid w:val="4FC10DD9"/>
    <w:rsid w:val="5D384B30"/>
    <w:rsid w:val="69FA18A5"/>
    <w:rsid w:val="6A302528"/>
    <w:rsid w:val="6FDE528E"/>
    <w:rsid w:val="77804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semiHidden/>
    <w:unhideWhenUsed/>
    <w:qFormat/>
    <w:uiPriority w:val="0"/>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1"/>
    <w:next w:val="1"/>
    <w:link w:val="20"/>
    <w:semiHidden/>
    <w:unhideWhenUsed/>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qFormat/>
    <w:uiPriority w:val="0"/>
    <w:pPr>
      <w:jc w:val="left"/>
    </w:pPr>
  </w:style>
  <w:style w:type="paragraph" w:styleId="6">
    <w:name w:val="Body Text"/>
    <w:basedOn w:val="1"/>
    <w:next w:val="7"/>
    <w:link w:val="25"/>
    <w:qFormat/>
    <w:uiPriority w:val="0"/>
    <w:pPr>
      <w:widowControl/>
      <w:spacing w:after="120" w:line="240" w:lineRule="auto"/>
      <w:jc w:val="left"/>
    </w:pPr>
    <w:rPr>
      <w:rFonts w:asciiTheme="minorHAnsi" w:hAnsiTheme="minorHAnsi" w:eastAsiaTheme="minorEastAsia"/>
      <w:spacing w:val="0"/>
      <w:kern w:val="0"/>
      <w:sz w:val="24"/>
      <w:szCs w:val="24"/>
    </w:rPr>
  </w:style>
  <w:style w:type="paragraph" w:styleId="7">
    <w:name w:val="Body Text First Indent"/>
    <w:basedOn w:val="6"/>
    <w:link w:val="26"/>
    <w:unhideWhenUsed/>
    <w:qFormat/>
    <w:uiPriority w:val="0"/>
    <w:pPr>
      <w:widowControl w:val="0"/>
      <w:spacing w:line="240" w:lineRule="atLeast"/>
      <w:ind w:firstLine="420" w:firstLineChars="100"/>
      <w:jc w:val="both"/>
    </w:pPr>
    <w:rPr>
      <w:rFonts w:ascii="Times New Roman" w:hAnsi="Times New Roman" w:eastAsia="仿宋_GB2312"/>
      <w:spacing w:val="-6"/>
      <w:kern w:val="2"/>
      <w:sz w:val="32"/>
      <w:szCs w:val="20"/>
    </w:rPr>
  </w:style>
  <w:style w:type="paragraph" w:styleId="8">
    <w:name w:val="Balloon Text"/>
    <w:basedOn w:val="1"/>
    <w:link w:val="22"/>
    <w:semiHidden/>
    <w:unhideWhenUsed/>
    <w:uiPriority w:val="0"/>
    <w:pPr>
      <w:spacing w:line="240" w:lineRule="auto"/>
    </w:pPr>
    <w:rPr>
      <w:rFonts w:ascii="宋体" w:eastAsia="宋体"/>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sz w:val="24"/>
      <w:szCs w:val="24"/>
    </w:rPr>
  </w:style>
  <w:style w:type="table" w:styleId="13">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qFormat/>
    <w:uiPriority w:val="0"/>
    <w:rPr>
      <w:color w:val="000000"/>
      <w:sz w:val="14"/>
      <w:szCs w:val="14"/>
      <w:u w:val="none"/>
    </w:rPr>
  </w:style>
  <w:style w:type="character" w:styleId="18">
    <w:name w:val="Hyperlink"/>
    <w:basedOn w:val="14"/>
    <w:qFormat/>
    <w:uiPriority w:val="0"/>
    <w:rPr>
      <w:color w:val="000000"/>
      <w:sz w:val="14"/>
      <w:szCs w:val="14"/>
      <w:u w:val="none"/>
    </w:rPr>
  </w:style>
  <w:style w:type="character" w:customStyle="1" w:styleId="19">
    <w:name w:val="标题 1 Char"/>
    <w:basedOn w:val="14"/>
    <w:link w:val="2"/>
    <w:uiPriority w:val="0"/>
    <w:rPr>
      <w:rFonts w:ascii="Calibri" w:hAnsi="Calibri"/>
      <w:b/>
      <w:bCs/>
      <w:kern w:val="44"/>
      <w:sz w:val="44"/>
      <w:szCs w:val="44"/>
    </w:rPr>
  </w:style>
  <w:style w:type="character" w:customStyle="1" w:styleId="20">
    <w:name w:val="标题 3 Char"/>
    <w:basedOn w:val="14"/>
    <w:link w:val="4"/>
    <w:semiHidden/>
    <w:uiPriority w:val="0"/>
    <w:rPr>
      <w:rFonts w:ascii="Calibri" w:hAnsi="Calibri"/>
      <w:b/>
      <w:bCs/>
      <w:kern w:val="2"/>
      <w:sz w:val="32"/>
      <w:szCs w:val="32"/>
    </w:rPr>
  </w:style>
  <w:style w:type="character" w:customStyle="1" w:styleId="21">
    <w:name w:val="批注文字 Char"/>
    <w:basedOn w:val="14"/>
    <w:link w:val="5"/>
    <w:qFormat/>
    <w:uiPriority w:val="0"/>
    <w:rPr>
      <w:rFonts w:eastAsia="仿宋_GB2312"/>
      <w:spacing w:val="-6"/>
      <w:kern w:val="2"/>
      <w:sz w:val="32"/>
    </w:rPr>
  </w:style>
  <w:style w:type="character" w:customStyle="1" w:styleId="22">
    <w:name w:val="批注框文本 Char"/>
    <w:basedOn w:val="14"/>
    <w:link w:val="8"/>
    <w:semiHidden/>
    <w:qFormat/>
    <w:uiPriority w:val="0"/>
    <w:rPr>
      <w:rFonts w:ascii="宋体"/>
      <w:spacing w:val="-6"/>
      <w:kern w:val="2"/>
      <w:sz w:val="18"/>
      <w:szCs w:val="18"/>
    </w:rPr>
  </w:style>
  <w:style w:type="character" w:customStyle="1" w:styleId="23">
    <w:name w:val="页脚 Char"/>
    <w:basedOn w:val="14"/>
    <w:link w:val="9"/>
    <w:qFormat/>
    <w:uiPriority w:val="99"/>
    <w:rPr>
      <w:rFonts w:eastAsia="仿宋_GB2312"/>
      <w:spacing w:val="-6"/>
      <w:kern w:val="2"/>
      <w:sz w:val="18"/>
      <w:szCs w:val="18"/>
    </w:rPr>
  </w:style>
  <w:style w:type="paragraph" w:customStyle="1" w:styleId="24">
    <w:name w:val="_Style 20"/>
    <w:basedOn w:val="1"/>
    <w:next w:val="1"/>
    <w:qFormat/>
    <w:uiPriority w:val="0"/>
    <w:pPr>
      <w:tabs>
        <w:tab w:val="left" w:pos="284"/>
        <w:tab w:val="right" w:leader="dot" w:pos="8306"/>
      </w:tabs>
      <w:spacing w:line="240" w:lineRule="auto"/>
      <w:ind w:left="600" w:leftChars="200"/>
    </w:pPr>
    <w:rPr>
      <w:rFonts w:ascii="宋体" w:hAnsi="宋体" w:eastAsia="宋体" w:cs="宋体"/>
      <w:spacing w:val="0"/>
      <w:sz w:val="24"/>
      <w:szCs w:val="24"/>
    </w:rPr>
  </w:style>
  <w:style w:type="character" w:customStyle="1" w:styleId="25">
    <w:name w:val="正文文本 Char"/>
    <w:basedOn w:val="14"/>
    <w:link w:val="6"/>
    <w:qFormat/>
    <w:uiPriority w:val="0"/>
    <w:rPr>
      <w:rFonts w:asciiTheme="minorHAnsi" w:hAnsiTheme="minorHAnsi" w:eastAsiaTheme="minorEastAsia"/>
      <w:sz w:val="24"/>
      <w:szCs w:val="24"/>
    </w:rPr>
  </w:style>
  <w:style w:type="character" w:customStyle="1" w:styleId="26">
    <w:name w:val="正文首行缩进 Char"/>
    <w:basedOn w:val="25"/>
    <w:link w:val="7"/>
    <w:qFormat/>
    <w:uiPriority w:val="0"/>
    <w:rPr>
      <w:rFonts w:asciiTheme="minorHAnsi" w:hAnsiTheme="minorHAnsi" w:eastAsiaTheme="minorEastAsia"/>
      <w:sz w:val="24"/>
      <w:szCs w:val="24"/>
    </w:rPr>
  </w:style>
  <w:style w:type="character" w:customStyle="1" w:styleId="27">
    <w:name w:val="标题 2 Char"/>
    <w:basedOn w:val="14"/>
    <w:link w:val="3"/>
    <w:qFormat/>
    <w:uiPriority w:val="0"/>
    <w:rPr>
      <w:rFonts w:asciiTheme="majorHAnsi" w:hAnsiTheme="majorHAnsi" w:eastAsiaTheme="majorEastAsia" w:cstheme="majorBidi"/>
      <w:b/>
      <w:bCs/>
      <w:spacing w:val="-6"/>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l\Documents\&#33258;&#23450;&#20041;%20Office%20&#27169;&#26495;\20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A06D7-7E59-0644-90DD-865202795053}">
  <ds:schemaRefs/>
</ds:datastoreItem>
</file>

<file path=docProps/app.xml><?xml version="1.0" encoding="utf-8"?>
<Properties xmlns="http://schemas.openxmlformats.org/officeDocument/2006/extended-properties" xmlns:vt="http://schemas.openxmlformats.org/officeDocument/2006/docPropsVTypes">
  <Template>2020.dotx</Template>
  <Pages>15</Pages>
  <Words>941</Words>
  <Characters>5368</Characters>
  <Lines>44</Lines>
  <Paragraphs>12</Paragraphs>
  <TotalTime>9</TotalTime>
  <ScaleCrop>false</ScaleCrop>
  <LinksUpToDate>false</LinksUpToDate>
  <CharactersWithSpaces>6297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2024-07-02T07:52:00Z</dcterms:created>
  <dc:creator>hxl</dc:creator>
  <cp:lastModifiedBy>Li Jing</cp:lastModifiedBy>
  <cp:lastPrinted>2024-02-20T01:48:00Z</cp:lastPrinted>
  <dcterms:modified xsi:type="dcterms:W3CDTF">2024-07-11T07:35:36Z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Microsoft Theme">
    <vt:lpwstr>Redacted 011</vt:lpwstr>
  </property>
  <property fmtid="{D5CDD505-2E9C-101B-9397-08002B2CF9AE}" pid="4" name="ICV">
    <vt:lpwstr>05B23821164F4D348D58E9E9809CEF32_13</vt:lpwstr>
  </property>
</Properties>
</file>